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5FA" w:rsidRDefault="004705FA">
      <w:pPr>
        <w:jc w:val="right"/>
        <w:rPr>
          <w:rFonts w:ascii="Times New Roman" w:hAnsi="Times New Roman"/>
          <w:sz w:val="28"/>
          <w:szCs w:val="28"/>
        </w:rPr>
      </w:pPr>
    </w:p>
    <w:p w:rsidR="004705FA" w:rsidRDefault="00107E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«Ребенок, которого не обнимала деревня, </w:t>
      </w:r>
    </w:p>
    <w:p w:rsidR="004705FA" w:rsidRDefault="00107E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сожжет ее дотла, чтобы почувствовать тепло».</w:t>
      </w:r>
    </w:p>
    <w:p w:rsidR="004705FA" w:rsidRDefault="004705FA">
      <w:pPr>
        <w:jc w:val="right"/>
        <w:rPr>
          <w:rFonts w:ascii="Times New Roman" w:hAnsi="Times New Roman"/>
          <w:sz w:val="28"/>
          <w:szCs w:val="28"/>
        </w:rPr>
      </w:pPr>
    </w:p>
    <w:p w:rsidR="004705FA" w:rsidRDefault="004705FA">
      <w:pPr>
        <w:jc w:val="both"/>
        <w:rPr>
          <w:rFonts w:ascii="Times New Roman" w:hAnsi="Times New Roman"/>
          <w:sz w:val="28"/>
          <w:szCs w:val="28"/>
        </w:rPr>
      </w:pPr>
    </w:p>
    <w:p w:rsidR="004705FA" w:rsidRDefault="00107E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современной России проявления экстремизма в молодёжной среде носят все более асоциальный, жесткой и циничный характер, тем самым пытаясь вызвать максимальный резонанс в обществе.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05FA" w:rsidRDefault="00107E30">
      <w:pPr>
        <w:pStyle w:val="a6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  <w:t>Пропаганда превосходства по национальному и религиозному признаку, призыв к нарушению целостности страны, разрушению общественных норм и уклада — все это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экстремизм</w:t>
      </w:r>
      <w:r>
        <w:rPr>
          <w:rFonts w:ascii="Times New Roman" w:hAnsi="Times New Roman"/>
          <w:sz w:val="28"/>
          <w:szCs w:val="28"/>
        </w:rPr>
        <w:t>.</w:t>
      </w:r>
    </w:p>
    <w:p w:rsidR="004705FA" w:rsidRDefault="00107E30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Кажется, история совсем не детская, но психологи утверждают обратное. Подростки с их максимализмом и внушаемостью очень уязвимы для радикальных настроений.</w:t>
      </w:r>
    </w:p>
    <w:p w:rsidR="004705FA" w:rsidRDefault="00107E30">
      <w:pPr>
        <w:pStyle w:val="a6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Экстремистские воззрения формируются у подростков по целому ряду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причин</w:t>
      </w:r>
      <w:r>
        <w:rPr>
          <w:rFonts w:ascii="Times New Roman" w:hAnsi="Times New Roman"/>
          <w:sz w:val="28"/>
          <w:szCs w:val="28"/>
        </w:rPr>
        <w:t>.</w:t>
      </w:r>
    </w:p>
    <w:p w:rsidR="004705FA" w:rsidRDefault="00107E30">
      <w:pPr>
        <w:pStyle w:val="a6"/>
        <w:numPr>
          <w:ilvl w:val="0"/>
          <w:numId w:val="1"/>
        </w:numPr>
        <w:tabs>
          <w:tab w:val="clear" w:pos="707"/>
          <w:tab w:val="left" w:pos="0"/>
        </w:tabs>
        <w:spacing w:after="0" w:line="360" w:lineRule="auto"/>
        <w:jc w:val="both"/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Недовольство жизнью и общественным укладом</w:t>
      </w:r>
      <w:r>
        <w:rPr>
          <w:rFonts w:ascii="Times New Roman" w:hAnsi="Times New Roman"/>
          <w:sz w:val="28"/>
          <w:szCs w:val="28"/>
        </w:rPr>
        <w:t>.</w:t>
      </w:r>
    </w:p>
    <w:p w:rsidR="004705FA" w:rsidRDefault="00107E30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им могут не нравиться имеющиеся в школе правила и традиции. Не имея возможности не подчиняться им, школьники направляют свою агрессию на общество, которое эти правила придумало.</w:t>
      </w:r>
    </w:p>
    <w:p w:rsidR="004705FA" w:rsidRDefault="00107E30">
      <w:pPr>
        <w:pStyle w:val="a6"/>
        <w:numPr>
          <w:ilvl w:val="0"/>
          <w:numId w:val="2"/>
        </w:numPr>
        <w:tabs>
          <w:tab w:val="clear" w:pos="707"/>
          <w:tab w:val="left" w:pos="0"/>
        </w:tabs>
        <w:spacing w:after="0" w:line="360" w:lineRule="auto"/>
        <w:jc w:val="both"/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Буллинг</w:t>
      </w:r>
      <w:r>
        <w:rPr>
          <w:rFonts w:ascii="Times New Roman" w:hAnsi="Times New Roman"/>
          <w:sz w:val="28"/>
          <w:szCs w:val="28"/>
        </w:rPr>
        <w:t>.</w:t>
      </w:r>
    </w:p>
    <w:p w:rsidR="004705FA" w:rsidRDefault="00107E30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со стороны обидчика травля может иметь несерьезный, хулиганский характер, то для жертвы она становится фатальной. В сознании подростка в ней виновато все общество.</w:t>
      </w:r>
    </w:p>
    <w:p w:rsidR="004705FA" w:rsidRDefault="00107E3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 ярко это проявляется, если агрессор принадлежит к другой национальности. Подростки склонны обобщать и воспринимать индивидуальную черту характера как отличительный признак целого народа.</w:t>
      </w:r>
    </w:p>
    <w:p w:rsidR="004705FA" w:rsidRDefault="00107E30">
      <w:pPr>
        <w:pStyle w:val="a6"/>
        <w:numPr>
          <w:ilvl w:val="0"/>
          <w:numId w:val="3"/>
        </w:numPr>
        <w:tabs>
          <w:tab w:val="clear" w:pos="707"/>
          <w:tab w:val="left" w:pos="0"/>
        </w:tabs>
        <w:spacing w:line="360" w:lineRule="auto"/>
        <w:jc w:val="both"/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Пропаганда в интернете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705FA" w:rsidRDefault="00107E30">
      <w:pPr>
        <w:pStyle w:val="a6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Подростки стремятся к лидерству и объединению с себе подобными. На этом строится вербовка в экстремистские организации, которая часто </w:t>
      </w:r>
      <w:hyperlink r:id="rId5" w:tgtFrame="_blank" w:history="1">
        <w:r>
          <w:rPr>
            <w:rFonts w:ascii="Times New Roman" w:hAnsi="Times New Roman"/>
            <w:sz w:val="28"/>
            <w:szCs w:val="28"/>
          </w:rPr>
          <w:t>происходит</w:t>
        </w:r>
      </w:hyperlink>
      <w:r>
        <w:rPr>
          <w:rFonts w:ascii="Times New Roman" w:hAnsi="Times New Roman"/>
          <w:sz w:val="28"/>
          <w:szCs w:val="28"/>
        </w:rPr>
        <w:t xml:space="preserve"> в социальных сетях и на форумах в интернете.</w:t>
      </w:r>
    </w:p>
    <w:p w:rsidR="004705FA" w:rsidRDefault="00107E30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интернете хорошо заметна героизация экстремистских действий и противопоставления себя обществу. </w:t>
      </w:r>
    </w:p>
    <w:p w:rsidR="004705FA" w:rsidRDefault="00107E30">
      <w:pPr>
        <w:pStyle w:val="a6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Одним из основных и важнейших направлений противодействия экстремизму в Российской Федерации является его профилактика, т.е. предупредительная работа по противодействию экстремистским проявлениям.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:rsidR="004705FA" w:rsidRDefault="00107E30">
      <w:pPr>
        <w:pStyle w:val="a6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программы:</w:t>
      </w:r>
    </w:p>
    <w:p w:rsidR="004705FA" w:rsidRDefault="00107E30">
      <w:pPr>
        <w:pStyle w:val="a6"/>
        <w:numPr>
          <w:ilvl w:val="0"/>
          <w:numId w:val="4"/>
        </w:numPr>
        <w:tabs>
          <w:tab w:val="clear" w:pos="707"/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условий для эффективной первичной профилактики экстремизма среди подростков</w:t>
      </w:r>
    </w:p>
    <w:p w:rsidR="004705FA" w:rsidRDefault="00107E30">
      <w:pPr>
        <w:pStyle w:val="a6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4705FA" w:rsidRDefault="00107E30">
      <w:pPr>
        <w:pStyle w:val="a6"/>
        <w:numPr>
          <w:ilvl w:val="0"/>
          <w:numId w:val="5"/>
        </w:numPr>
        <w:tabs>
          <w:tab w:val="clear" w:pos="707"/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диагностики по выявлению отношения целевой группы к обозначенной проблеме и склонности целевой группы к экстремизму;</w:t>
      </w:r>
    </w:p>
    <w:p w:rsidR="004705FA" w:rsidRDefault="00107E30">
      <w:pPr>
        <w:pStyle w:val="a6"/>
        <w:numPr>
          <w:ilvl w:val="0"/>
          <w:numId w:val="5"/>
        </w:numPr>
        <w:tabs>
          <w:tab w:val="clear" w:pos="707"/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комплекса мероприятий направленных на профилактику  экстремизма;</w:t>
      </w:r>
    </w:p>
    <w:p w:rsidR="004705FA" w:rsidRDefault="00107E30">
      <w:pPr>
        <w:pStyle w:val="a6"/>
        <w:numPr>
          <w:ilvl w:val="0"/>
          <w:numId w:val="5"/>
        </w:numPr>
        <w:tabs>
          <w:tab w:val="clear" w:pos="707"/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правового сознания подростков, ее информирование о правовых последствиях участия в экстремистской деятельности.</w:t>
      </w:r>
    </w:p>
    <w:p w:rsidR="004705FA" w:rsidRDefault="00107E30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Целевая группа: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учащиеся 8,9,10,11 классов</w:t>
      </w:r>
    </w:p>
    <w:p w:rsidR="004705FA" w:rsidRDefault="00107E30">
      <w:pPr>
        <w:pStyle w:val="a6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Направления деятельности:</w:t>
      </w:r>
    </w:p>
    <w:p w:rsidR="004705FA" w:rsidRDefault="00107E30">
      <w:pPr>
        <w:pStyle w:val="a6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включает мероприятия по приоритетным направлениям в сфере профилактики экстремизма:</w:t>
      </w:r>
    </w:p>
    <w:p w:rsidR="004705FA" w:rsidRDefault="00107E30">
      <w:pPr>
        <w:pStyle w:val="a6"/>
        <w:numPr>
          <w:ilvl w:val="0"/>
          <w:numId w:val="6"/>
        </w:numPr>
        <w:tabs>
          <w:tab w:val="clear" w:pos="707"/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информационно-пропагандистское противодействие экстремизму;</w:t>
      </w:r>
    </w:p>
    <w:p w:rsidR="004705FA" w:rsidRDefault="00107E30">
      <w:pPr>
        <w:pStyle w:val="a6"/>
        <w:numPr>
          <w:ilvl w:val="0"/>
          <w:numId w:val="6"/>
        </w:numPr>
        <w:tabs>
          <w:tab w:val="clear" w:pos="707"/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профилактические мероприятия.</w:t>
      </w:r>
    </w:p>
    <w:p w:rsidR="004705FA" w:rsidRDefault="00107E30">
      <w:pPr>
        <w:pStyle w:val="a6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Предполагаемые результаты:</w:t>
      </w:r>
    </w:p>
    <w:p w:rsidR="004705FA" w:rsidRDefault="00107E30">
      <w:pPr>
        <w:pStyle w:val="a6"/>
        <w:numPr>
          <w:ilvl w:val="0"/>
          <w:numId w:val="7"/>
        </w:numPr>
        <w:tabs>
          <w:tab w:val="clear" w:pos="707"/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успешная реализация программных мероприятий;</w:t>
      </w:r>
    </w:p>
    <w:p w:rsidR="004705FA" w:rsidRDefault="00107E30">
      <w:pPr>
        <w:pStyle w:val="a6"/>
        <w:numPr>
          <w:ilvl w:val="0"/>
          <w:numId w:val="7"/>
        </w:numPr>
        <w:tabs>
          <w:tab w:val="clear" w:pos="707"/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уровня правового сознания целевой группы;</w:t>
      </w:r>
    </w:p>
    <w:p w:rsidR="004705FA" w:rsidRDefault="00107E30">
      <w:pPr>
        <w:pStyle w:val="a6"/>
        <w:numPr>
          <w:ilvl w:val="0"/>
          <w:numId w:val="7"/>
        </w:numPr>
        <w:tabs>
          <w:tab w:val="clear" w:pos="707"/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отрицательного образа экстремистских организаций и их деятельности</w:t>
      </w:r>
    </w:p>
    <w:p w:rsidR="004705FA" w:rsidRDefault="00107E30">
      <w:pPr>
        <w:pStyle w:val="a6"/>
        <w:numPr>
          <w:ilvl w:val="0"/>
          <w:numId w:val="7"/>
        </w:numPr>
        <w:tabs>
          <w:tab w:val="clear" w:pos="707"/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предупреждения проявления экстремистской деятельности со стороны целевой группы.</w:t>
      </w:r>
    </w:p>
    <w:p w:rsidR="004705FA" w:rsidRDefault="00107E30">
      <w:pPr>
        <w:pStyle w:val="1"/>
        <w:spacing w:before="0" w:after="140"/>
        <w:jc w:val="both"/>
        <w:rPr>
          <w:b w:val="0"/>
          <w:bCs w:val="0"/>
          <w:sz w:val="28"/>
          <w:szCs w:val="28"/>
        </w:rPr>
      </w:pPr>
      <w:bookmarkStart w:id="0" w:name="8"/>
      <w:bookmarkEnd w:id="0"/>
      <w:r>
        <w:rPr>
          <w:b w:val="0"/>
          <w:bCs w:val="0"/>
          <w:color w:val="000000"/>
          <w:sz w:val="28"/>
          <w:szCs w:val="28"/>
        </w:rPr>
        <w:t>Перечень программных мероприятий</w:t>
      </w:r>
    </w:p>
    <w:tbl>
      <w:tblPr>
        <w:tblW w:w="9945" w:type="dxa"/>
        <w:tblInd w:w="-3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0"/>
        <w:gridCol w:w="4365"/>
      </w:tblGrid>
      <w:tr w:rsidR="004705FA"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4705FA"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с целью выявления отношения целевой группы к проблеме молодёжного экстремизма.</w:t>
            </w:r>
          </w:p>
          <w:p w:rsidR="004705FA" w:rsidRDefault="00107E30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на тему «Характеристика понятия «экстремизм»».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705FA"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документальных фильмов об экстремизме, терроризме.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</w:tc>
      </w:tr>
      <w:tr w:rsidR="004705FA"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«Причины молодёжного экстремизма»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</w:tc>
      </w:tr>
      <w:tr w:rsidR="004705FA"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эссе «Молодёжный экстремизм, как проблема современной России»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705FA"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на тему «Религиозный экстремизм».</w:t>
            </w: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705FA">
        <w:trPr>
          <w:trHeight w:val="740"/>
        </w:trPr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конкурса эссе.</w:t>
            </w:r>
          </w:p>
          <w:p w:rsidR="004705FA" w:rsidRDefault="004705FA">
            <w:pPr>
              <w:pStyle w:val="ac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705FA">
        <w:trPr>
          <w:trHeight w:val="551"/>
        </w:trPr>
        <w:tc>
          <w:tcPr>
            <w:tcW w:w="558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Класссные часы по толерантности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</w:t>
            </w:r>
          </w:p>
        </w:tc>
      </w:tr>
      <w:tr w:rsidR="004705FA">
        <w:trPr>
          <w:trHeight w:val="290"/>
        </w:trPr>
        <w:tc>
          <w:tcPr>
            <w:tcW w:w="558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по вопросам предотвращения экстремизма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полугодие</w:t>
            </w:r>
          </w:p>
        </w:tc>
      </w:tr>
      <w:tr w:rsidR="004705FA">
        <w:trPr>
          <w:trHeight w:val="546"/>
        </w:trPr>
        <w:tc>
          <w:tcPr>
            <w:tcW w:w="558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 выявлению субкультур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полугодие</w:t>
            </w:r>
          </w:p>
        </w:tc>
      </w:tr>
      <w:tr w:rsidR="004705FA">
        <w:trPr>
          <w:trHeight w:val="546"/>
        </w:trPr>
        <w:tc>
          <w:tcPr>
            <w:tcW w:w="558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экстремизма и информационной безопасности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полугодие</w:t>
            </w:r>
          </w:p>
        </w:tc>
      </w:tr>
      <w:tr w:rsidR="004705FA">
        <w:trPr>
          <w:trHeight w:val="546"/>
        </w:trPr>
        <w:tc>
          <w:tcPr>
            <w:tcW w:w="558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pPr>
              <w:tabs>
                <w:tab w:val="left" w:pos="98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молодежных акциях “Нет экстремизму”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4705FA" w:rsidRDefault="00107E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705FA">
        <w:trPr>
          <w:trHeight w:val="61"/>
        </w:trPr>
        <w:tc>
          <w:tcPr>
            <w:tcW w:w="5580" w:type="dxa"/>
          </w:tcPr>
          <w:p w:rsidR="004705FA" w:rsidRDefault="004705FA"/>
        </w:tc>
        <w:tc>
          <w:tcPr>
            <w:tcW w:w="4365" w:type="dxa"/>
          </w:tcPr>
          <w:p w:rsidR="004705FA" w:rsidRDefault="004705FA"/>
        </w:tc>
      </w:tr>
      <w:tr w:rsidR="004705FA">
        <w:trPr>
          <w:trHeight w:val="61"/>
        </w:trPr>
        <w:tc>
          <w:tcPr>
            <w:tcW w:w="5580" w:type="dxa"/>
          </w:tcPr>
          <w:p w:rsidR="004705FA" w:rsidRDefault="004705FA"/>
        </w:tc>
        <w:tc>
          <w:tcPr>
            <w:tcW w:w="4365" w:type="dxa"/>
          </w:tcPr>
          <w:p w:rsidR="004705FA" w:rsidRDefault="004705FA"/>
        </w:tc>
      </w:tr>
    </w:tbl>
    <w:p w:rsidR="004705FA" w:rsidRDefault="004705FA">
      <w:pPr>
        <w:pStyle w:val="a6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4705FA" w:rsidRDefault="00107E30">
      <w:pPr>
        <w:pStyle w:val="2"/>
        <w:spacing w:before="0" w:after="0"/>
        <w:jc w:val="center"/>
        <w:rPr>
          <w:b w:val="0"/>
          <w:bCs w:val="0"/>
          <w:sz w:val="28"/>
          <w:szCs w:val="28"/>
        </w:rPr>
      </w:pPr>
      <w:bookmarkStart w:id="1" w:name="9"/>
      <w:bookmarkEnd w:id="1"/>
      <w:r>
        <w:rPr>
          <w:rFonts w:ascii="Arial;sans-serif" w:hAnsi="Arial;sans-serif"/>
          <w:b w:val="0"/>
          <w:color w:val="000000"/>
          <w:sz w:val="30"/>
        </w:rPr>
        <w:t>Анкетирование с целью выявления отношения целевой группы к проблеме молодёжного экстремизма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Анкетирование - метод получения первичной информации, заключающийся в составлении анкет и проведении опроса. Применяется в общественных науках, при переписях населения, в изучении общественного мнения.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b/>
          <w:color w:val="000000"/>
          <w:sz w:val="24"/>
        </w:rPr>
        <w:t xml:space="preserve">Цель: </w:t>
      </w:r>
      <w:r>
        <w:rPr>
          <w:rFonts w:ascii="Arial;sans-serif" w:hAnsi="Arial;sans-serif"/>
          <w:color w:val="000000"/>
          <w:sz w:val="24"/>
        </w:rPr>
        <w:t>изучение мнения целевой группы относительно проблемы молодёжного экстремизма</w:t>
      </w:r>
    </w:p>
    <w:p w:rsidR="004705FA" w:rsidRDefault="00107E30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b/>
          <w:color w:val="000000"/>
          <w:sz w:val="24"/>
        </w:rPr>
        <w:t>Задачи:</w:t>
      </w:r>
    </w:p>
    <w:p w:rsidR="004705FA" w:rsidRDefault="00107E30">
      <w:pPr>
        <w:pStyle w:val="a6"/>
        <w:numPr>
          <w:ilvl w:val="0"/>
          <w:numId w:val="8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составление и оформление анкеты;</w:t>
      </w:r>
    </w:p>
    <w:p w:rsidR="004705FA" w:rsidRDefault="00107E30">
      <w:pPr>
        <w:pStyle w:val="a6"/>
        <w:numPr>
          <w:ilvl w:val="0"/>
          <w:numId w:val="8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проведение анкетирования;</w:t>
      </w:r>
    </w:p>
    <w:p w:rsidR="004705FA" w:rsidRDefault="00107E30">
      <w:pPr>
        <w:pStyle w:val="a6"/>
        <w:numPr>
          <w:ilvl w:val="0"/>
          <w:numId w:val="8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сбор и анализ результатов;</w:t>
      </w:r>
    </w:p>
    <w:p w:rsidR="004705FA" w:rsidRDefault="00107E30">
      <w:pPr>
        <w:pStyle w:val="a6"/>
        <w:numPr>
          <w:ilvl w:val="0"/>
          <w:numId w:val="8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оформление результатов.</w:t>
      </w:r>
    </w:p>
    <w:p w:rsidR="004705FA" w:rsidRDefault="00107E30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Текст анкеты представлен в приложении.</w:t>
      </w:r>
    </w:p>
    <w:p w:rsidR="004705FA" w:rsidRDefault="00107E30">
      <w:pPr>
        <w:pStyle w:val="2"/>
        <w:spacing w:before="0" w:after="0"/>
        <w:jc w:val="center"/>
        <w:rPr>
          <w:b w:val="0"/>
          <w:bCs w:val="0"/>
          <w:sz w:val="28"/>
          <w:szCs w:val="28"/>
        </w:rPr>
      </w:pPr>
      <w:bookmarkStart w:id="2" w:name="10"/>
      <w:bookmarkEnd w:id="2"/>
      <w:r>
        <w:rPr>
          <w:rFonts w:ascii="Arial;sans-serif" w:hAnsi="Arial;sans-serif"/>
          <w:b w:val="0"/>
          <w:color w:val="000000"/>
          <w:sz w:val="30"/>
        </w:rPr>
        <w:t>Лекция на тему «Характеристика понятия «экстремизм»»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Лекция - это метод сообщения новых знаний. Её отличает высокая целенаправленность и большая информативность.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b/>
          <w:color w:val="000000"/>
          <w:sz w:val="24"/>
        </w:rPr>
        <w:t>Цель: </w:t>
      </w:r>
      <w:r>
        <w:rPr>
          <w:rFonts w:ascii="Arial;sans-serif" w:hAnsi="Arial;sans-serif"/>
          <w:color w:val="000000"/>
          <w:sz w:val="24"/>
        </w:rPr>
        <w:t>ознакомление целевой группы с термином «экстремизм», информирование о негативном влиянии экстремистских группировок и способах вербовки молодёжи в такие организации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b/>
          <w:color w:val="000000"/>
          <w:sz w:val="24"/>
        </w:rPr>
        <w:t>Задачи:</w:t>
      </w:r>
    </w:p>
    <w:p w:rsidR="004705FA" w:rsidRDefault="00107E30">
      <w:pPr>
        <w:pStyle w:val="a6"/>
        <w:numPr>
          <w:ilvl w:val="0"/>
          <w:numId w:val="9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сбор материала для лекции;</w:t>
      </w:r>
    </w:p>
    <w:p w:rsidR="004705FA" w:rsidRDefault="00107E30">
      <w:pPr>
        <w:pStyle w:val="a6"/>
        <w:numPr>
          <w:ilvl w:val="0"/>
          <w:numId w:val="9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структурирование лекции;</w:t>
      </w:r>
    </w:p>
    <w:p w:rsidR="004705FA" w:rsidRDefault="00107E30">
      <w:pPr>
        <w:pStyle w:val="a6"/>
        <w:numPr>
          <w:ilvl w:val="0"/>
          <w:numId w:val="9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проведение лекции;</w:t>
      </w:r>
    </w:p>
    <w:p w:rsidR="004705FA" w:rsidRDefault="00107E30">
      <w:pPr>
        <w:pStyle w:val="a6"/>
        <w:numPr>
          <w:ilvl w:val="0"/>
          <w:numId w:val="9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проверка и обсуждение полученных знаний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b/>
          <w:color w:val="000000"/>
          <w:sz w:val="24"/>
        </w:rPr>
        <w:t xml:space="preserve">Время лекции: </w:t>
      </w:r>
      <w:r>
        <w:rPr>
          <w:rFonts w:ascii="Arial;sans-serif" w:hAnsi="Arial;sans-serif"/>
          <w:color w:val="000000"/>
          <w:sz w:val="24"/>
        </w:rPr>
        <w:t>1,5 часа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Данная лекция представляет собой изложение аудитории информации по обозначенной тематике. Данная форма так же предполагает элементы беседы и дискуссии среди участников на поднятые лектором вопросы. Лекция будет способствовать закреплению знаний у целевой группы о типах экстремизма, о видах его проявления в современном обществе. Со стороны аудитории предполагается конспектирование информации для дальнейшего её обсуждения и использования.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План лекции:</w:t>
      </w:r>
    </w:p>
    <w:p w:rsidR="004705FA" w:rsidRDefault="00107E30">
      <w:pPr>
        <w:pStyle w:val="a6"/>
        <w:numPr>
          <w:ilvl w:val="0"/>
          <w:numId w:val="10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подходы к значению термина «экстремизм»</w:t>
      </w:r>
    </w:p>
    <w:p w:rsidR="004705FA" w:rsidRDefault="00107E30">
      <w:pPr>
        <w:pStyle w:val="a6"/>
        <w:numPr>
          <w:ilvl w:val="0"/>
          <w:numId w:val="10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особенности молодёжного экстремизма в РФ</w:t>
      </w:r>
    </w:p>
    <w:p w:rsidR="004705FA" w:rsidRDefault="00107E30">
      <w:pPr>
        <w:pStyle w:val="a6"/>
        <w:numPr>
          <w:ilvl w:val="0"/>
          <w:numId w:val="10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характеристика экстремистских организаций</w:t>
      </w:r>
    </w:p>
    <w:p w:rsidR="004705FA" w:rsidRDefault="00107E30">
      <w:pPr>
        <w:pStyle w:val="a6"/>
        <w:numPr>
          <w:ilvl w:val="0"/>
          <w:numId w:val="10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способы вовлечения молодёжи в экстремистские организации</w:t>
      </w:r>
    </w:p>
    <w:p w:rsidR="004705FA" w:rsidRDefault="00107E30">
      <w:pPr>
        <w:pStyle w:val="a6"/>
        <w:numPr>
          <w:ilvl w:val="0"/>
          <w:numId w:val="10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обсуждение полученной информации</w:t>
      </w:r>
    </w:p>
    <w:p w:rsidR="004705FA" w:rsidRDefault="00107E30">
      <w:pPr>
        <w:pStyle w:val="2"/>
        <w:spacing w:before="0" w:after="0"/>
        <w:jc w:val="center"/>
        <w:rPr>
          <w:b w:val="0"/>
          <w:bCs w:val="0"/>
          <w:sz w:val="28"/>
          <w:szCs w:val="28"/>
        </w:rPr>
      </w:pPr>
      <w:bookmarkStart w:id="3" w:name="11"/>
      <w:bookmarkEnd w:id="3"/>
      <w:r>
        <w:rPr>
          <w:rFonts w:ascii="Arial;sans-serif" w:hAnsi="Arial;sans-serif"/>
          <w:b w:val="0"/>
          <w:color w:val="000000"/>
          <w:sz w:val="30"/>
        </w:rPr>
        <w:t>Просмотр документальных фильмов об экстремизме, терроризме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b/>
          <w:color w:val="000000"/>
          <w:sz w:val="24"/>
        </w:rPr>
        <w:t xml:space="preserve">Цель: </w:t>
      </w:r>
      <w:r>
        <w:rPr>
          <w:rFonts w:ascii="Arial;sans-serif" w:hAnsi="Arial;sans-serif"/>
          <w:color w:val="000000"/>
          <w:sz w:val="24"/>
        </w:rPr>
        <w:t>ознакомление целевой группы с пагубным влиянием экстремистских организаций на современное общество. Информирование о деятельности данных организаций.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b/>
          <w:color w:val="000000"/>
          <w:sz w:val="24"/>
        </w:rPr>
        <w:t>Задачи:</w:t>
      </w:r>
    </w:p>
    <w:p w:rsidR="004705FA" w:rsidRDefault="00107E30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поиск документальных фильмов</w:t>
      </w:r>
    </w:p>
    <w:p w:rsidR="004705FA" w:rsidRDefault="00107E30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просмотр документальных фильмов</w:t>
      </w:r>
    </w:p>
    <w:p w:rsidR="004705FA" w:rsidRDefault="00107E30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обсуждение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Данная форма позволит целевой группе на визуальных примерах ознакомиться о деструктивной деятельности экстремистов.</w:t>
      </w:r>
    </w:p>
    <w:p w:rsidR="004705FA" w:rsidRDefault="00107E30">
      <w:pPr>
        <w:pStyle w:val="2"/>
        <w:spacing w:before="0" w:after="0"/>
        <w:jc w:val="center"/>
        <w:rPr>
          <w:b w:val="0"/>
          <w:bCs w:val="0"/>
          <w:sz w:val="28"/>
          <w:szCs w:val="28"/>
        </w:rPr>
      </w:pPr>
      <w:bookmarkStart w:id="4" w:name="12"/>
      <w:bookmarkEnd w:id="4"/>
      <w:r>
        <w:rPr>
          <w:rFonts w:ascii="Arial;sans-serif" w:hAnsi="Arial;sans-serif"/>
          <w:b w:val="0"/>
          <w:color w:val="000000"/>
          <w:sz w:val="30"/>
        </w:rPr>
        <w:t>Круглый стол на тему «Причины молодёжного экстремизма»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Круглый стол - свободная конференция разнородных участников для непосредственного обсуждения определённых проблем.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b/>
          <w:color w:val="000000"/>
          <w:sz w:val="24"/>
        </w:rPr>
        <w:t>Цель: </w:t>
      </w:r>
      <w:r>
        <w:rPr>
          <w:rFonts w:ascii="Arial;sans-serif" w:hAnsi="Arial;sans-serif"/>
          <w:color w:val="000000"/>
          <w:sz w:val="24"/>
        </w:rPr>
        <w:t> всесторонне глубокое рассмотрение актуальных вопросов связанных с темой «Причины молодёжного экстремизма» путем их свободного группового обсуждения. 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проблемой.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b/>
          <w:color w:val="000000"/>
          <w:sz w:val="24"/>
        </w:rPr>
        <w:t>Задачи:</w:t>
      </w:r>
    </w:p>
    <w:p w:rsidR="004705FA" w:rsidRDefault="00107E30">
      <w:pPr>
        <w:pStyle w:val="a6"/>
        <w:numPr>
          <w:ilvl w:val="0"/>
          <w:numId w:val="12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выбор проблемы;</w:t>
      </w:r>
    </w:p>
    <w:p w:rsidR="004705FA" w:rsidRDefault="00107E30">
      <w:pPr>
        <w:pStyle w:val="a6"/>
        <w:numPr>
          <w:ilvl w:val="0"/>
          <w:numId w:val="12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распределение тем докладов;</w:t>
      </w:r>
    </w:p>
    <w:p w:rsidR="004705FA" w:rsidRDefault="00107E30">
      <w:pPr>
        <w:pStyle w:val="a6"/>
        <w:numPr>
          <w:ilvl w:val="0"/>
          <w:numId w:val="12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определение формы выступления докладчика;</w:t>
      </w:r>
    </w:p>
    <w:p w:rsidR="004705FA" w:rsidRDefault="00107E30">
      <w:pPr>
        <w:pStyle w:val="a6"/>
        <w:numPr>
          <w:ilvl w:val="0"/>
          <w:numId w:val="12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подготовка сценария круглого стола;</w:t>
      </w:r>
    </w:p>
    <w:p w:rsidR="004705FA" w:rsidRDefault="00107E30">
      <w:pPr>
        <w:pStyle w:val="a6"/>
        <w:numPr>
          <w:ilvl w:val="0"/>
          <w:numId w:val="12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проведение «круглого стола» согласно сценарию</w:t>
      </w:r>
    </w:p>
    <w:p w:rsidR="004705FA" w:rsidRDefault="00107E30">
      <w:pPr>
        <w:pStyle w:val="a6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b/>
          <w:color w:val="000000"/>
          <w:sz w:val="24"/>
        </w:rPr>
        <w:t>Время проведения: </w:t>
      </w:r>
      <w:r>
        <w:rPr>
          <w:rFonts w:ascii="Arial;sans-serif" w:hAnsi="Arial;sans-serif"/>
          <w:color w:val="000000"/>
          <w:sz w:val="24"/>
        </w:rPr>
        <w:t>1,5 часа (включая перерыв)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Данная форма позволит затронуть широкий спектр вопросов связанных с тематикой. По средствам дискуссии и обсуждения участники смогут высказать своё мнение и придти к общему. Подготовка докладов ведётся по группам.</w:t>
      </w:r>
    </w:p>
    <w:p w:rsidR="004705FA" w:rsidRDefault="00107E30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Примерный список тем докладов:</w:t>
      </w:r>
    </w:p>
    <w:p w:rsidR="004705FA" w:rsidRDefault="00107E30">
      <w:pPr>
        <w:pStyle w:val="a6"/>
        <w:numPr>
          <w:ilvl w:val="0"/>
          <w:numId w:val="13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Экстремизм и ситуация на Украине.</w:t>
      </w:r>
    </w:p>
    <w:p w:rsidR="004705FA" w:rsidRDefault="00107E30">
      <w:pPr>
        <w:pStyle w:val="a6"/>
        <w:numPr>
          <w:ilvl w:val="0"/>
          <w:numId w:val="13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Объективные причины молодёжного экстремизма.</w:t>
      </w:r>
    </w:p>
    <w:p w:rsidR="004705FA" w:rsidRDefault="00107E30">
      <w:pPr>
        <w:pStyle w:val="a6"/>
        <w:numPr>
          <w:ilvl w:val="0"/>
          <w:numId w:val="13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Субъективные причины молодёжного экстремизма.</w:t>
      </w:r>
    </w:p>
    <w:p w:rsidR="004705FA" w:rsidRDefault="00107E30">
      <w:pPr>
        <w:pStyle w:val="a6"/>
        <w:numPr>
          <w:ilvl w:val="0"/>
          <w:numId w:val="13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Уголовная и административная ответственность за деяния экстремистского толка.</w:t>
      </w:r>
    </w:p>
    <w:p w:rsidR="004705FA" w:rsidRDefault="00107E30">
      <w:pPr>
        <w:pStyle w:val="a6"/>
        <w:numPr>
          <w:ilvl w:val="0"/>
          <w:numId w:val="13"/>
        </w:numPr>
        <w:tabs>
          <w:tab w:val="clear" w:pos="707"/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Arial;sans-serif" w:hAnsi="Arial;sans-serif"/>
          <w:color w:val="000000"/>
          <w:sz w:val="24"/>
        </w:rPr>
        <w:t>Влияние молодёжных субкультур на рост экстремизма.</w:t>
      </w:r>
    </w:p>
    <w:p w:rsidR="004705FA" w:rsidRDefault="00107E30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Методика подготовки и проведения круглого стола зафиксирована в приложении.</w:t>
      </w:r>
    </w:p>
    <w:p w:rsidR="004705FA" w:rsidRDefault="00107E3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Диагностика экстремизма</w:t>
      </w:r>
    </w:p>
    <w:p w:rsidR="004705FA" w:rsidRDefault="00107E3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 по предупреждению и профилактике экстремизма, считаю, нужно начинать с диагностического этапа. Для этого педагог-психолог проводит диагностическую работу с обучающими с целью выявления личностных особенностей, которые повышают риск вовлечения в неформальные молодежные группы деструктивной направленности, также с целью исследования личностных свойств толерантности у учащихся.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Такие личностные особенности как трудность формирования жизненных ориентиров, ценностей, переживание собственной не успешности, трудности самопонимания, неадекватная самооценка, отсутствие позитивных жизненных целей, неумение взаимодействовать с окружающими, неустойчивость эмоциональной сферы – повышают риск вовлечения детей к организациям экстремистской направленности.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Решение данной проблемы будет более эффективным при комплексном взаимодействии психолога, социального педагога с классными руководителями, родителями, другим значимым социальным окружением ребенка.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Педагог-психолог имеет возможность с помощью методики диагностики к отклоняющемуся поведению (А.Н. Орел) выявить отдельные проявления девиантного поведения.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Содержание методики включает шкалы, выявляющие следующие факторы риска: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склонность к аддиктивному поведению;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склонности к агрессии и насилию;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-  По результатам диагностики определятся дети «группы риска» Далее идет (при необходимости) коррекционная работа.</w:t>
      </w:r>
    </w:p>
    <w:p w:rsidR="004705FA" w:rsidRDefault="00107E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Заключение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Таким образом, можно констатировать тот факт, что профилактика и предупреждение экстремизма в образовательной среде и в среде вне образования является неотъемлемой частью и важнейшей задачей всех субъектов образования, в том числе и родителей.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Только комплексное сотрудничество даст положительный результат.</w:t>
      </w:r>
    </w:p>
    <w:p w:rsidR="004705FA" w:rsidRDefault="00107E3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705FA">
      <w:pgSz w:w="11906" w:h="16838"/>
      <w:pgMar w:top="1134" w:right="850" w:bottom="1134" w:left="1701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default"/>
    <w:sig w:usb0="7FFFFFFF" w:usb1="500078FF" w:usb2="00000021" w:usb3="00000001" w:csb0="600001BF" w:csb1="7FFFFFFF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CC"/>
    <w:family w:val="roman"/>
    <w:pitch w:val="default"/>
    <w:sig w:usb0="800000AF" w:usb1="1001ECEA" w:usb2="00000001" w:usb3="00000001" w:csb0="00000001" w:csb1="00000001"/>
  </w:font>
  <w:font w:name="PT Astra Serif">
    <w:charset w:val="CC"/>
    <w:family w:val="roman"/>
    <w:pitch w:val="default"/>
    <w:sig w:usb0="A00002EF" w:usb1="5000204B" w:usb2="00000020" w:usb3="00000001" w:csb0="20000097" w:csb1="00000001"/>
  </w:font>
  <w:font w:name="Noto Sans Devanagari">
    <w:panose1 w:val="00000000000000000000"/>
    <w:charset w:val="00"/>
    <w:family w:val="auto"/>
    <w:pitch w:val="variable"/>
    <w:sig w:usb0="80008023" w:usb1="00002046" w:usb2="00000000" w:usb3="00000000" w:csb0="00000001" w:csb1="00000000"/>
  </w:font>
  <w:font w:name="Arial;sans-serif">
    <w:altName w:val="Arial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C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9EC4C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10414613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478F088E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49904AF9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58EE755F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592D51FA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6A800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6ABB5472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6B5742C7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757A2C1D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79FE45C8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7EE57517"/>
    <w:multiLevelType w:val="multilevel"/>
    <w:tmpl w:val="FFFFFFFF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948080241">
    <w:abstractNumId w:val="1"/>
  </w:num>
  <w:num w:numId="2" w16cid:durableId="1291017333">
    <w:abstractNumId w:val="0"/>
  </w:num>
  <w:num w:numId="3" w16cid:durableId="396823127">
    <w:abstractNumId w:val="7"/>
  </w:num>
  <w:num w:numId="4" w16cid:durableId="625746085">
    <w:abstractNumId w:val="5"/>
  </w:num>
  <w:num w:numId="5" w16cid:durableId="2043091976">
    <w:abstractNumId w:val="11"/>
  </w:num>
  <w:num w:numId="6" w16cid:durableId="293488871">
    <w:abstractNumId w:val="4"/>
  </w:num>
  <w:num w:numId="7" w16cid:durableId="800534507">
    <w:abstractNumId w:val="12"/>
  </w:num>
  <w:num w:numId="8" w16cid:durableId="1734959881">
    <w:abstractNumId w:val="2"/>
  </w:num>
  <w:num w:numId="9" w16cid:durableId="891498620">
    <w:abstractNumId w:val="9"/>
  </w:num>
  <w:num w:numId="10" w16cid:durableId="1939216558">
    <w:abstractNumId w:val="8"/>
  </w:num>
  <w:num w:numId="11" w16cid:durableId="374889111">
    <w:abstractNumId w:val="3"/>
  </w:num>
  <w:num w:numId="12" w16cid:durableId="166210593">
    <w:abstractNumId w:val="6"/>
  </w:num>
  <w:num w:numId="13" w16cid:durableId="420682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movePersonalInformation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revisionView w:markup="0" w:insDel="0"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FA"/>
    <w:rsid w:val="00107E30"/>
    <w:rsid w:val="004705FA"/>
    <w:rsid w:val="008C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 Spacing"/>
    <w:basedOn w:val="a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lawinrussia.ru/content/perechen-vyyavlennyh-ekstremistskih-grupp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  <a:font script="Mymr" typeface=""/>
      </a:majorFont>
      <a:minorFont>
        <a:latin typeface="Arial"/>
        <a:ea typeface="Arial"/>
        <a:cs typeface="Arial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>
              <a:shade val="95000"/>
              <a:satMod val="104999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7688</Characters>
  <Application>Microsoft Office Word</Application>
  <DocSecurity>0</DocSecurity>
  <Lines>64</Lines>
  <Paragraphs>18</Paragraphs>
  <ScaleCrop>false</ScaleCrop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2024-02-05T09:35:00Z</dcterms:created>
  <dcterms:modified xsi:type="dcterms:W3CDTF">2024-02-05T09:35:00Z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