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критического и креативного мышления учащихся через инновационную технологию «Укрупнённая дидактическая единица» в реализации </w:t>
      </w:r>
      <w:r>
        <w:rPr>
          <w:rFonts w:ascii="Times New Roman" w:hAnsi="Times New Roman"/>
          <w:sz w:val="28"/>
        </w:rPr>
        <w:t xml:space="preserve">образовательных программ </w:t>
      </w:r>
      <w:r>
        <w:rPr>
          <w:rFonts w:ascii="Times New Roman" w:hAnsi="Times New Roman"/>
          <w:sz w:val="28"/>
        </w:rPr>
        <w:t>ФГОС нового поколения</w:t>
      </w:r>
      <w:r>
        <w:rPr>
          <w:rFonts w:ascii="Times New Roman" w:hAnsi="Times New Roman"/>
          <w:sz w:val="28"/>
        </w:rPr>
        <w:t>.</w:t>
      </w:r>
    </w:p>
    <w:p w14:paraId="02000000">
      <w:pPr>
        <w:pStyle w:val="Style_1"/>
        <w:spacing w:after="0" w:line="240" w:lineRule="auto"/>
        <w:ind/>
        <w:rPr>
          <w:rFonts w:ascii="Times New Roman" w:hAnsi="Times New Roman"/>
          <w:sz w:val="28"/>
        </w:rPr>
      </w:pPr>
    </w:p>
    <w:p w14:paraId="03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 начальных  классов  Киба  Ирина Ярославовна</w:t>
      </w:r>
    </w:p>
    <w:p w14:paraId="04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февраль 2024 год</w:t>
      </w:r>
    </w:p>
    <w:p w14:paraId="05000000">
      <w:pPr>
        <w:pStyle w:val="Style_1"/>
        <w:spacing w:after="0" w:line="240" w:lineRule="auto"/>
        <w:ind/>
        <w:rPr>
          <w:rFonts w:ascii="Times New Roman" w:hAnsi="Times New Roman"/>
          <w:sz w:val="28"/>
        </w:rPr>
      </w:pPr>
    </w:p>
    <w:p w14:paraId="06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Современное содержание ФГОС направлено на и</w:t>
      </w:r>
      <w:r>
        <w:rPr>
          <w:rFonts w:ascii="Times New Roman" w:hAnsi="Times New Roman"/>
          <w:sz w:val="28"/>
        </w:rPr>
        <w:t>нтеллектуальное развитие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школьников, формирование культуры, критического и креативного мышления.</w:t>
      </w:r>
    </w:p>
    <w:p w14:paraId="0700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Критическое мышление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i w:val="1"/>
          <w:sz w:val="28"/>
        </w:rPr>
        <w:t>это система суждений, которую применяют для анализа информации, интерпретации явлений, оценки событий, а также для последующего составления объективных выводов</w:t>
      </w:r>
      <w:r>
        <w:rPr>
          <w:rFonts w:ascii="Times New Roman" w:hAnsi="Times New Roman"/>
          <w:i w:val="1"/>
          <w:sz w:val="28"/>
        </w:rPr>
        <w:t>.</w:t>
      </w:r>
    </w:p>
    <w:p w14:paraId="0800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Креативное мышление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i w:val="1"/>
          <w:sz w:val="28"/>
        </w:rPr>
        <w:t>это способность создавать или иным образом воплощать в жизнь что-то новое, будь то решение проблемы</w:t>
      </w:r>
      <w:r>
        <w:rPr>
          <w:rFonts w:ascii="Times New Roman" w:hAnsi="Times New Roman"/>
          <w:i w:val="1"/>
          <w:sz w:val="28"/>
        </w:rPr>
        <w:t>, метод, устройство, художественные объект или форму (</w:t>
      </w:r>
      <w:r>
        <w:rPr>
          <w:rFonts w:ascii="Times New Roman" w:hAnsi="Times New Roman"/>
          <w:i w:val="1"/>
          <w:sz w:val="28"/>
        </w:rPr>
        <w:t>интеллект+воображение</w:t>
      </w:r>
      <w:r>
        <w:rPr>
          <w:rFonts w:ascii="Times New Roman" w:hAnsi="Times New Roman"/>
          <w:i w:val="1"/>
          <w:sz w:val="28"/>
        </w:rPr>
        <w:t>).</w:t>
      </w:r>
    </w:p>
    <w:p w14:paraId="09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Методическая технология</w:t>
      </w:r>
      <w:r>
        <w:rPr>
          <w:rFonts w:ascii="Times New Roman" w:hAnsi="Times New Roman"/>
          <w:sz w:val="28"/>
        </w:rPr>
        <w:t xml:space="preserve"> УДЕ представляет приоритетную и </w:t>
      </w:r>
      <w:r>
        <w:rPr>
          <w:rFonts w:ascii="Times New Roman" w:hAnsi="Times New Roman"/>
          <w:b w:val="1"/>
          <w:sz w:val="28"/>
        </w:rPr>
        <w:t xml:space="preserve">конкурентоспособную </w:t>
      </w:r>
      <w:r>
        <w:rPr>
          <w:rFonts w:ascii="Times New Roman" w:hAnsi="Times New Roman"/>
          <w:sz w:val="28"/>
        </w:rPr>
        <w:t>технологию обучения.</w:t>
      </w:r>
    </w:p>
    <w:p w14:paraId="0A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Дидактическая единица</w:t>
      </w:r>
      <w:r>
        <w:rPr>
          <w:rFonts w:ascii="Times New Roman" w:hAnsi="Times New Roman"/>
          <w:sz w:val="28"/>
        </w:rPr>
        <w:t xml:space="preserve"> – это целостная, законченная по смыслу информационная часть учебной программы, причём объём этой части может быть различен. Укрупнить дидактическую единицу, это значит увеличить объём информации, который она в себя включает.</w:t>
      </w:r>
    </w:p>
    <w:p w14:paraId="0B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(укру</w:t>
      </w:r>
      <w:r>
        <w:rPr>
          <w:rFonts w:ascii="Times New Roman" w:hAnsi="Times New Roman"/>
          <w:sz w:val="28"/>
        </w:rPr>
        <w:t xml:space="preserve">пненная дидактическая единица) как средство </w:t>
      </w:r>
      <w:r>
        <w:rPr>
          <w:rFonts w:ascii="Times New Roman" w:hAnsi="Times New Roman"/>
          <w:sz w:val="28"/>
        </w:rPr>
        <w:t>систематизации</w:t>
      </w:r>
      <w:r>
        <w:rPr>
          <w:rFonts w:ascii="Times New Roman" w:hAnsi="Times New Roman"/>
          <w:sz w:val="28"/>
        </w:rPr>
        <w:t xml:space="preserve"> и обобщения знаний.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«Формирование целостных системных знаний за счёт совмещения в учебной дисциплине структурно сходных понятий и закономерностей составляет суть технологии укрупнения дидактических единиц (П.М. Эрдниев), идею которой часто называют «идеей века в педагогике»</w:t>
      </w:r>
      <w:r>
        <w:rPr>
          <w:rFonts w:ascii="Times New Roman" w:hAnsi="Times New Roman"/>
          <w:sz w:val="28"/>
        </w:rPr>
        <w:t xml:space="preserve"> </w:t>
      </w:r>
    </w:p>
    <w:p w14:paraId="0D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«УДЕ – это технология обучения, обеспечивающая самовозрастание знаний учащегося благодаря активизации у него подсознательных механизмов переработки информации посредством сближения</w:t>
      </w:r>
      <w:r>
        <w:rPr>
          <w:rFonts w:ascii="Times New Roman" w:hAnsi="Times New Roman"/>
          <w:sz w:val="28"/>
        </w:rPr>
        <w:t xml:space="preserve"> во времени и пространстве</w:t>
      </w:r>
      <w:r>
        <w:rPr>
          <w:rFonts w:ascii="Times New Roman" w:hAnsi="Times New Roman"/>
          <w:sz w:val="28"/>
        </w:rPr>
        <w:t xml:space="preserve"> взаимодействующих компонентов доказательной логики и положительных эмоций»</w:t>
      </w:r>
      <w:r>
        <w:rPr>
          <w:rFonts w:ascii="Times New Roman" w:hAnsi="Times New Roman"/>
          <w:sz w:val="28"/>
        </w:rPr>
        <w:t>.</w:t>
      </w:r>
    </w:p>
    <w:p w14:paraId="0E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принципами УДЕ происходит сравнительное, одновременное изучение взаимосвязанных или противоположных по смыслу объектов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понятий,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явлений, закономерностей, процессов и т.п., в результате чего</w:t>
      </w:r>
      <w:r>
        <w:rPr>
          <w:rFonts w:ascii="Times New Roman" w:hAnsi="Times New Roman"/>
          <w:sz w:val="28"/>
        </w:rPr>
        <w:t xml:space="preserve"> учащиеся получают целостную, структурную информацию.</w:t>
      </w:r>
    </w:p>
    <w:p w14:paraId="0F00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УДЕ находится на стыке наук – математики, физиологии, медицины, философии, филологии и отражает глубинные стороны восприятия учащимися излагаемого материала.</w:t>
      </w:r>
      <w:r>
        <w:rPr>
          <w:rFonts w:ascii="Times New Roman" w:hAnsi="Times New Roman"/>
          <w:sz w:val="28"/>
        </w:rPr>
        <w:t xml:space="preserve"> Психофизиологические истоки данного научного направления восходят к </w:t>
      </w:r>
      <w:r>
        <w:rPr>
          <w:rFonts w:ascii="Times New Roman" w:hAnsi="Times New Roman"/>
          <w:b w:val="1"/>
          <w:sz w:val="28"/>
        </w:rPr>
        <w:t>исследованиям академика И.П. Павлова</w:t>
      </w:r>
      <w:r>
        <w:rPr>
          <w:rFonts w:ascii="Times New Roman" w:hAnsi="Times New Roman"/>
          <w:b w:val="1"/>
          <w:sz w:val="28"/>
        </w:rPr>
        <w:t xml:space="preserve"> «Противопоставление ускоряет, облегчает наше здоровое мышление»</w:t>
      </w:r>
      <w:r>
        <w:rPr>
          <w:rFonts w:ascii="Times New Roman" w:hAnsi="Times New Roman"/>
          <w:b w:val="1"/>
          <w:sz w:val="28"/>
        </w:rPr>
        <w:t>. В современных исследованиях установлено, что если логика, слова, знаки, счёт – сосредоточены в левом полушарии, то чувства, эмоции, образная информация – в правом полушарии у большинства людей (речь идёт о правшах).</w:t>
      </w:r>
    </w:p>
    <w:p w14:paraId="1000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На уроке, проводимом по технологии УДЕ, ученик произносит вслух целый рассказ, формулируя условие задачи, вопрос задачи и решение прямой и обратной задачи. Моментом, вызывающем улыбку на лице ученика, оказывается замыканием</w:t>
      </w:r>
      <w:r>
        <w:rPr>
          <w:rFonts w:ascii="Times New Roman" w:hAnsi="Times New Roman"/>
          <w:sz w:val="28"/>
        </w:rPr>
        <w:t xml:space="preserve"> цепи суждений, результат этого действия объединяет нервные элементы левого и правого полушарий головного мозга, от логики к эмоциям, переход от мира умозаключений к миру переживаний.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 результате такой мыслительной деятельности </w:t>
      </w:r>
      <w:r>
        <w:rPr>
          <w:rFonts w:ascii="Times New Roman" w:hAnsi="Times New Roman"/>
          <w:b w:val="1"/>
          <w:sz w:val="28"/>
        </w:rPr>
        <w:t>у ученика снимаем психологические нагрузки в учении, предупреждаем неуспеваемость, сохраняем здоровье.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1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построении </w:t>
      </w:r>
      <w:r>
        <w:rPr>
          <w:rFonts w:ascii="Times New Roman" w:hAnsi="Times New Roman"/>
          <w:sz w:val="28"/>
        </w:rPr>
        <w:t xml:space="preserve">учебного процесса на </w:t>
      </w:r>
      <w:r>
        <w:rPr>
          <w:rFonts w:ascii="Times New Roman" w:hAnsi="Times New Roman"/>
          <w:sz w:val="28"/>
        </w:rPr>
        <w:t>принципах УДЕ</w:t>
      </w:r>
      <w:r>
        <w:rPr>
          <w:rFonts w:ascii="Times New Roman" w:hAnsi="Times New Roman"/>
          <w:sz w:val="28"/>
        </w:rPr>
        <w:t xml:space="preserve"> достигается целостность знаний, системность, прочность усвоения информации при сокращении расходов учебного времени, открываются пути самообучения учащихся. </w:t>
      </w:r>
      <w:r>
        <w:rPr>
          <w:rFonts w:ascii="Times New Roman" w:hAnsi="Times New Roman"/>
          <w:sz w:val="28"/>
        </w:rPr>
        <w:t>Экономия расхода учебного времени благодаря УДЕ достигает 30% (даже у начинающего учителя</w:t>
      </w:r>
      <w:r>
        <w:rPr>
          <w:rFonts w:ascii="Times New Roman" w:hAnsi="Times New Roman"/>
          <w:sz w:val="28"/>
        </w:rPr>
        <w:t xml:space="preserve">), </w:t>
      </w:r>
      <w:bookmarkStart w:id="1" w:name="_GoBack"/>
      <w:bookmarkEnd w:id="1"/>
      <w:r>
        <w:rPr>
          <w:rFonts w:ascii="Times New Roman" w:hAnsi="Times New Roman"/>
          <w:sz w:val="28"/>
        </w:rPr>
        <w:t>причём общее количество усваиваемой учащимся информации возрастает также не менее чем на треть против общепринятых норм.</w:t>
      </w:r>
      <w:r>
        <w:rPr>
          <w:rFonts w:ascii="Times New Roman" w:hAnsi="Times New Roman"/>
          <w:sz w:val="28"/>
        </w:rPr>
        <w:t xml:space="preserve"> </w:t>
      </w:r>
    </w:p>
    <w:p w14:paraId="12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основных принципа </w:t>
      </w:r>
      <w:r>
        <w:rPr>
          <w:rFonts w:ascii="Times New Roman" w:hAnsi="Times New Roman"/>
          <w:sz w:val="28"/>
        </w:rPr>
        <w:t>УДЕ:</w:t>
      </w:r>
    </w:p>
    <w:p w14:paraId="13000000">
      <w:pPr>
        <w:pStyle w:val="Style_1"/>
        <w:numPr>
          <w:ilvl w:val="0"/>
          <w:numId w:val="1"/>
        </w:numPr>
        <w:spacing w:after="0"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Совместное изучение связанных </w:t>
      </w:r>
      <w:r>
        <w:rPr>
          <w:rFonts w:ascii="Times New Roman" w:hAnsi="Times New Roman"/>
          <w:sz w:val="28"/>
        </w:rPr>
        <w:t xml:space="preserve">между собой обратными действиями </w:t>
      </w:r>
      <w:r>
        <w:rPr>
          <w:rFonts w:ascii="Times New Roman" w:hAnsi="Times New Roman"/>
          <w:sz w:val="28"/>
        </w:rPr>
        <w:t>вопросов программы.</w:t>
      </w:r>
    </w:p>
    <w:p w14:paraId="14000000">
      <w:pPr>
        <w:pStyle w:val="Style_1"/>
        <w:numPr>
          <w:ilvl w:val="0"/>
          <w:numId w:val="1"/>
        </w:numPr>
        <w:spacing w:after="0"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Деформированные задания, в которых искомым является не один, а несколько элементов, которые основываются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логических операциях, переборе возможных решений</w:t>
      </w:r>
      <w:r>
        <w:rPr>
          <w:rFonts w:ascii="Times New Roman" w:hAnsi="Times New Roman"/>
          <w:sz w:val="28"/>
        </w:rPr>
        <w:t>, сравнение чисел, контроле ответов.</w:t>
      </w:r>
    </w:p>
    <w:p w14:paraId="15000000">
      <w:pPr>
        <w:pStyle w:val="Style_1"/>
        <w:numPr>
          <w:ilvl w:val="0"/>
          <w:numId w:val="1"/>
        </w:numPr>
        <w:spacing w:after="0"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прямой задачи и преобразование её в обратные или аналогичные.</w:t>
      </w:r>
    </w:p>
    <w:p w14:paraId="16000000">
      <w:pPr>
        <w:pStyle w:val="Style_1"/>
        <w:numPr>
          <w:ilvl w:val="0"/>
          <w:numId w:val="1"/>
        </w:numPr>
        <w:spacing w:after="0"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творческих заданий по самостоятельному конструированию учащимися задач, примеров.</w:t>
      </w:r>
    </w:p>
    <w:p w14:paraId="17000000">
      <w:pPr>
        <w:pStyle w:val="Style_1"/>
        <w:spacing w:after="0"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В технологии УДЕ рекомендовано применять: варьирование размеров шрифта, всевозможные подчёркивания, особые значки (символы) в тексте, язык стрелок, чертежи, графики, рисунки, схемы и концентрированные записи, тщательно продумывать расположение учебного материала, использовать параллельные зап</w:t>
      </w:r>
      <w:r>
        <w:rPr>
          <w:rFonts w:ascii="Times New Roman" w:hAnsi="Times New Roman"/>
          <w:sz w:val="28"/>
        </w:rPr>
        <w:t>иси, кластеры,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синквейны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эмодз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(смайлики) и т.д.</w:t>
      </w:r>
    </w:p>
    <w:p w14:paraId="18000000">
      <w:pPr>
        <w:pStyle w:val="Style_1"/>
        <w:spacing w:after="0"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Синквейн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– это методический приём, состоящий из 5 строк стихотворной формы. Все строки являются нерифмованными, однако</w:t>
      </w:r>
      <w:r>
        <w:rPr>
          <w:rFonts w:ascii="Times New Roman" w:hAnsi="Times New Roman"/>
          <w:sz w:val="28"/>
        </w:rPr>
        <w:t>, написание каждой строки подчинено определённым правилам:</w:t>
      </w:r>
    </w:p>
    <w:p w14:paraId="19000000">
      <w:pPr>
        <w:pStyle w:val="Style_1"/>
        <w:spacing w:after="0"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строка – 1 слово – тема текста (существительное)</w:t>
      </w:r>
    </w:p>
    <w:p w14:paraId="1A000000">
      <w:pPr>
        <w:pStyle w:val="Style_1"/>
        <w:spacing w:after="0"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строка – 2 слова (прилагательные или причастия), описывающие тему текста.</w:t>
      </w:r>
    </w:p>
    <w:p w14:paraId="1B000000">
      <w:pPr>
        <w:pStyle w:val="Style_1"/>
        <w:spacing w:after="0"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строка – 3 слова (глаголы или деепричастия), описывающие действия, связанные с темой текста.</w:t>
      </w:r>
    </w:p>
    <w:p w14:paraId="1C000000">
      <w:pPr>
        <w:pStyle w:val="Style_1"/>
        <w:spacing w:after="0"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строка – 4 слова (фраза), предложение выражающие отношение автора к тому, что он описывает. Это может быть крылатое выражение, пословица, поговорка, цитата, афоризм в тексте раскрываемой темы.</w:t>
      </w:r>
    </w:p>
    <w:p w14:paraId="1D000000">
      <w:pPr>
        <w:pStyle w:val="Style_1"/>
        <w:spacing w:after="0"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строка – 1-2 слова (итог) по аналогии с первой строкой,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характеризующее суть темы. </w:t>
      </w:r>
      <w:r>
        <w:rPr>
          <w:rFonts w:ascii="Times New Roman" w:hAnsi="Times New Roman"/>
          <w:sz w:val="28"/>
        </w:rPr>
        <w:t>Чаще всего это синоним, ассоциация.</w:t>
      </w:r>
    </w:p>
    <w:p w14:paraId="1E000000">
      <w:pPr>
        <w:pStyle w:val="Style_1"/>
        <w:spacing w:after="0"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Эмодзи</w:t>
      </w:r>
      <w:r>
        <w:rPr>
          <w:rFonts w:ascii="Times New Roman" w:hAnsi="Times New Roman"/>
          <w:sz w:val="28"/>
        </w:rPr>
        <w:t xml:space="preserve"> (смайлики</w:t>
      </w:r>
      <w:r>
        <w:rPr>
          <w:rFonts w:ascii="Times New Roman" w:hAnsi="Times New Roman"/>
          <w:sz w:val="28"/>
        </w:rPr>
        <w:t>) – отличный способ передать оттенки эмоций.</w:t>
      </w:r>
    </w:p>
    <w:p w14:paraId="1F000000">
      <w:pPr>
        <w:pStyle w:val="Style_1"/>
        <w:spacing w:after="0"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Кластер</w:t>
      </w:r>
      <w:r>
        <w:rPr>
          <w:rFonts w:ascii="Times New Roman" w:hAnsi="Times New Roman"/>
          <w:sz w:val="28"/>
        </w:rPr>
        <w:t xml:space="preserve"> – это графическая форма организации информации. Кластер – один из методов (приёмов) критического мышления, стимулирующих интеллектуальное развитие учащихся.</w:t>
      </w:r>
      <w:r>
        <w:rPr>
          <w:rFonts w:ascii="Times New Roman" w:hAnsi="Times New Roman"/>
          <w:sz w:val="28"/>
        </w:rPr>
        <w:t xml:space="preserve"> Приём кластера может применяться на любом этапе урока:</w:t>
      </w:r>
    </w:p>
    <w:p w14:paraId="20000000">
      <w:pPr>
        <w:pStyle w:val="Style_1"/>
        <w:numPr>
          <w:ilvl w:val="0"/>
          <w:numId w:val="2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этапе </w:t>
      </w:r>
      <w:r>
        <w:rPr>
          <w:rFonts w:ascii="Times New Roman" w:hAnsi="Times New Roman"/>
          <w:i w:val="1"/>
          <w:sz w:val="28"/>
        </w:rPr>
        <w:t xml:space="preserve">вызова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учащиеся высказывают и фиксируют все имеющие знания по теме, свои предположения и ассоциации. Стимулирование познавательной деятельности школьников, мотивации к размышлению до начала изучения темы.</w:t>
      </w:r>
    </w:p>
    <w:p w14:paraId="21000000">
      <w:pPr>
        <w:pStyle w:val="Style_1"/>
        <w:numPr>
          <w:ilvl w:val="0"/>
          <w:numId w:val="2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этапе </w:t>
      </w:r>
      <w:r>
        <w:rPr>
          <w:rFonts w:ascii="Times New Roman" w:hAnsi="Times New Roman"/>
          <w:i w:val="1"/>
          <w:sz w:val="28"/>
        </w:rPr>
        <w:t>осмысления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использование кластера позволяет структурировать учебный материал.</w:t>
      </w:r>
    </w:p>
    <w:p w14:paraId="22000000">
      <w:pPr>
        <w:pStyle w:val="Style_1"/>
        <w:numPr>
          <w:ilvl w:val="0"/>
          <w:numId w:val="2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этапе </w:t>
      </w:r>
      <w:r>
        <w:rPr>
          <w:rFonts w:ascii="Times New Roman" w:hAnsi="Times New Roman"/>
          <w:i w:val="1"/>
          <w:sz w:val="28"/>
        </w:rPr>
        <w:t>рефлексии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метод (приём) кластера выполняет функцию систематизирования полученных знаний.</w:t>
      </w:r>
    </w:p>
    <w:p w14:paraId="23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данной работы формируются и развиваются следующие умения:</w:t>
      </w:r>
    </w:p>
    <w:p w14:paraId="24000000">
      <w:pPr>
        <w:pStyle w:val="Style_1"/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умение ставить вопросы;</w:t>
      </w:r>
    </w:p>
    <w:p w14:paraId="25000000">
      <w:pPr>
        <w:pStyle w:val="Style_1"/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выделять главное;</w:t>
      </w:r>
    </w:p>
    <w:p w14:paraId="26000000">
      <w:pPr>
        <w:pStyle w:val="Style_1"/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устанавливать причинно-следственные связи и строить умозаключения;</w:t>
      </w:r>
    </w:p>
    <w:p w14:paraId="27000000">
      <w:pPr>
        <w:pStyle w:val="Style_1"/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сравнивать и анализировать;</w:t>
      </w:r>
    </w:p>
    <w:p w14:paraId="28000000">
      <w:pPr>
        <w:pStyle w:val="Style_1"/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проводить аналогии.</w:t>
      </w:r>
    </w:p>
    <w:p w14:paraId="29000000">
      <w:pPr>
        <w:pStyle w:val="Style_1"/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1"/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1"/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1"/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pStyle w:val="Style_1"/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pStyle w:val="Style_1"/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pStyle w:val="Style_1"/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pStyle w:val="Style_1"/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pStyle w:val="Style_1"/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pStyle w:val="Style_1"/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pStyle w:val="Style_1"/>
        <w:spacing w:after="0" w:line="360" w:lineRule="auto"/>
        <w:ind w:firstLine="0" w:left="-709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851" w:footer="708" w:gutter="0" w:header="708" w:left="1134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2024-02-08T11:46:05Z</dcterms:modified>
</cp:coreProperties>
</file>