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39" w:rsidRPr="00D76E39" w:rsidRDefault="00D76E39" w:rsidP="00D76E3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76E39">
        <w:rPr>
          <w:rFonts w:ascii="Times New Roman" w:hAnsi="Times New Roman" w:cs="Times New Roman"/>
          <w:b/>
        </w:rPr>
        <w:t>ЦИФРОВАЯ ТРАНСФОРМАЦИЯ ШКОЛЫ</w:t>
      </w:r>
    </w:p>
    <w:p w:rsidR="00D76E39" w:rsidRP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Традиционная школа была создана на этапе становления индустриального общества и до недавнего времени выполняла роль основного источника позитивной информации для большинства населения. Сегодня положение изменилось, и имидж школы как главного и неоспоримого источника позитивных знаний для молодежи разрушен. Неудовлетворение традиционной организацией работы школы испытывают все. Эта неудовлетворенность, с одной стороны, и усиливающееся влияние продавцов коммуникационных и информационных услуг — с другой, создают условия, когда исключительная роль современной общеобразовательной школы как главного института социализации ставится под сомнение</w:t>
      </w:r>
      <w:r w:rsidR="00371034">
        <w:rPr>
          <w:rFonts w:ascii="Times New Roman" w:hAnsi="Times New Roman" w:cs="Times New Roman"/>
          <w:sz w:val="28"/>
          <w:szCs w:val="28"/>
          <w:lang w:val="en-US"/>
        </w:rPr>
        <w:t>[4,c.25]</w:t>
      </w:r>
      <w:r w:rsidRPr="00D76E39">
        <w:rPr>
          <w:rFonts w:ascii="Times New Roman" w:hAnsi="Times New Roman" w:cs="Times New Roman"/>
          <w:sz w:val="28"/>
          <w:szCs w:val="28"/>
        </w:rPr>
        <w:t>. Педагоги осознают дилемму, с которой школа как общественный институт сталкивается впервые: либо коренным образом измениться, решительно подняв свою значимость и общественный авторитет, вновь став лидирующей силой социального прогресса и мирного переустройства общества, — либо медленно сойти со сцены, уступив свою роль новым образовательным учреждениям, созданным на базе услуг, предоставляемых коммуникационными компаниями. Эта дилемма, хотя и оставается вне поля внимания педагогов, но достаточно отчетливо проявилась еще два десятилетия назад .</w:t>
      </w:r>
    </w:p>
    <w:p w:rsidR="00D76E39" w:rsidRP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При высокой централизации управления, когда информационные потоки в обществе контролируются «сверху», все решения о содержании учебных предметов, составе учебных материалов и методах обучения принимались сравнительно небольшой группой экспертов. Задача основной массы педагогов — претворить эти решения в жизнь. Доведенная до крайности модель «индустриального образования» противоречит задачам образования, ориентированного на участников цифровой экономики. Обучение и воспитание активной и самостоятельной творческой личности, действующей в условиях избытка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требует другой позиции педаго</w:t>
      </w:r>
      <w:r w:rsidRPr="00D76E39">
        <w:rPr>
          <w:rFonts w:ascii="Times New Roman" w:hAnsi="Times New Roman" w:cs="Times New Roman"/>
          <w:sz w:val="28"/>
          <w:szCs w:val="28"/>
        </w:rPr>
        <w:t>га</w:t>
      </w:r>
      <w:r w:rsidR="00371034">
        <w:rPr>
          <w:rFonts w:ascii="Times New Roman" w:hAnsi="Times New Roman" w:cs="Times New Roman"/>
          <w:sz w:val="28"/>
          <w:szCs w:val="28"/>
          <w:lang w:val="en-US"/>
        </w:rPr>
        <w:t xml:space="preserve"> [1,c.156]</w:t>
      </w:r>
      <w:r w:rsidRPr="00D76E39">
        <w:rPr>
          <w:rFonts w:ascii="Times New Roman" w:hAnsi="Times New Roman" w:cs="Times New Roman"/>
          <w:sz w:val="28"/>
          <w:szCs w:val="28"/>
        </w:rPr>
        <w:t xml:space="preserve">. Центр принятия решений о содержании, методах и организационных формах обучения должен смещаться из министерства и академий в тысячи школ. Лишь </w:t>
      </w:r>
      <w:r w:rsidRPr="00D76E39">
        <w:rPr>
          <w:rFonts w:ascii="Times New Roman" w:hAnsi="Times New Roman" w:cs="Times New Roman"/>
          <w:sz w:val="28"/>
          <w:szCs w:val="28"/>
        </w:rPr>
        <w:lastRenderedPageBreak/>
        <w:t>школа и ее коллектив при участии местного сообщества могут действенно влиять на результаты обучения. Поэтому педагоги вынуждены брать на себя ответственность за решен</w:t>
      </w:r>
      <w:r>
        <w:rPr>
          <w:rFonts w:ascii="Times New Roman" w:hAnsi="Times New Roman" w:cs="Times New Roman"/>
          <w:sz w:val="28"/>
          <w:szCs w:val="28"/>
        </w:rPr>
        <w:t>ия о содержании и методах учеб</w:t>
      </w:r>
      <w:r w:rsidRPr="00D76E39">
        <w:rPr>
          <w:rFonts w:ascii="Times New Roman" w:hAnsi="Times New Roman" w:cs="Times New Roman"/>
          <w:sz w:val="28"/>
          <w:szCs w:val="28"/>
        </w:rPr>
        <w:t>ной работы, о выборе используемых учебных материалов. Хотя сторонники традиционной школы пытаются препятствовать развитию этой тенденции (единые обязательные учебники, обязательные учебные программы и т. п.), однако эти усилия сталкиваются с возрастающим сопротивлением общественности. Действительно, предлагать учителю создавать и поддерживать условия, стимулирующие творчество школьников, когда учитель сам не имеет аналогичных условий для своей собственной работы, — значит предлагать нечто небывалое в человеческой истории .</w:t>
      </w:r>
    </w:p>
    <w:p w:rsidR="00D76E39" w:rsidRP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Цифровая трансформация ведет к замене закрытой учебной архитектуры, наследуемой от школы индустриального века, где учебный план, учебники, методы учебной работы, организация учебного пространства унифицированы и жестко регламентированы. Ей на смену идет открытая учебная архитектура, где цели, содержание, методы и организационные формы учебной работы становятся подвижными, корректируемыми в рамках конкретной школы. Формально передать учителям ответственность за результаты работы и право самостоятельно принимать решения об организации учебного процесса недостаточ</w:t>
      </w:r>
      <w:r>
        <w:rPr>
          <w:rFonts w:ascii="Times New Roman" w:hAnsi="Times New Roman" w:cs="Times New Roman"/>
          <w:sz w:val="28"/>
          <w:szCs w:val="28"/>
        </w:rPr>
        <w:t>но. Одновременно они должны по</w:t>
      </w:r>
      <w:r w:rsidRPr="00D76E39">
        <w:rPr>
          <w:rFonts w:ascii="Times New Roman" w:hAnsi="Times New Roman" w:cs="Times New Roman"/>
          <w:sz w:val="28"/>
          <w:szCs w:val="28"/>
        </w:rPr>
        <w:t>лучить средства решения соответствующих педагогических задач и быть способны их решать. Сегодня под рукой у учителя и его учеников оказывается все больше информационных и методических ресурсов: цифровые инструменты, текстовые, графические, аудио- и видеоматериалы, обучающие программы и цифровые лаборатории, методические разработки и много- численные сервисы, доставляемые через Интернет.</w:t>
      </w:r>
    </w:p>
    <w:p w:rsidR="00D76E39" w:rsidRP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 xml:space="preserve">Открытая учебная архитектура организовывает пространство решения и образовательных задач, с которыми работают и в самих образовательных организациях, и тех, которые решаются за их стенами. Сегодня компьютерная коммуникация способна обеспечить единое информационное пространство для </w:t>
      </w:r>
      <w:r w:rsidRPr="00D76E39">
        <w:rPr>
          <w:rFonts w:ascii="Times New Roman" w:hAnsi="Times New Roman" w:cs="Times New Roman"/>
          <w:sz w:val="28"/>
          <w:szCs w:val="28"/>
        </w:rPr>
        <w:lastRenderedPageBreak/>
        <w:t>работы внутри учебной группы на уроках, вне уроков и за пределами школы (во внешкольных учреждениях и дома). Условия для создания и использования элементов о</w:t>
      </w:r>
      <w:r w:rsidR="00371034">
        <w:rPr>
          <w:rFonts w:ascii="Times New Roman" w:hAnsi="Times New Roman" w:cs="Times New Roman"/>
          <w:sz w:val="28"/>
          <w:szCs w:val="28"/>
        </w:rPr>
        <w:t>ткрытой учебной архитектуры на</w:t>
      </w:r>
      <w:r w:rsidRPr="00D76E39">
        <w:rPr>
          <w:rFonts w:ascii="Times New Roman" w:hAnsi="Times New Roman" w:cs="Times New Roman"/>
          <w:sz w:val="28"/>
          <w:szCs w:val="28"/>
        </w:rPr>
        <w:t>лицо. Перемещение ответственности за учебные архитектурные решения от разработчика учебных программ к учителю, распространение практики работы по авторским программам — важнейшее достижение последних десятилетий на пути демократизации школы. Современной можно назвать школу, где коллектив педагогов — полноправный архитектор учебной среды, составляющими которой являются:</w:t>
      </w:r>
    </w:p>
    <w:p w:rsidR="00D76E39" w:rsidRPr="00D76E39" w:rsidRDefault="00D76E39" w:rsidP="00D76E39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вся совокупность освоенных педагогической наукой и практикой инструментов, приемов, технологий, техник и методов учебной работы,</w:t>
      </w:r>
    </w:p>
    <w:p w:rsidR="00D76E39" w:rsidRPr="00D76E39" w:rsidRDefault="00D76E39" w:rsidP="00D76E39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коммуникационное пространство учебного процесса (совокупность партнеров, с которыми могут и актуально общаются его участники заочно и лично, в реальной жизни, через различные медиа и Интернет),</w:t>
      </w:r>
    </w:p>
    <w:p w:rsidR="00D76E39" w:rsidRPr="00D76E39" w:rsidRDefault="00D76E39" w:rsidP="00D76E39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информационное пространство (фактически им может со временем стать весь Интернет),</w:t>
      </w:r>
    </w:p>
    <w:p w:rsidR="00D76E39" w:rsidRPr="00D76E39" w:rsidRDefault="00D76E39" w:rsidP="00D76E39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физическое пространство (для нас оно особенно важно в той части, где влияет на первые две составляющие).</w:t>
      </w:r>
    </w:p>
    <w:p w:rsidR="00883B65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Для описания быстро меняющегося вмещающего пространства образовательного процесса в школе информационного века удобно обратиться к представлению о его хронотопе.</w:t>
      </w:r>
    </w:p>
    <w:p w:rsid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Сегодня ясно, что у школы нет иной альтернативы, кроме радикального изменения содержания, методов и организационных форм обучения, использования новых информационных технологий как основного инструмента изменения информационной среды внутри самой школы, перехода к использованию открытой учебной архитектуры, осознания себя участником глобального образовательного процесса</w:t>
      </w:r>
      <w:r w:rsidR="00371034">
        <w:rPr>
          <w:rFonts w:ascii="Times New Roman" w:hAnsi="Times New Roman" w:cs="Times New Roman"/>
          <w:sz w:val="28"/>
          <w:szCs w:val="28"/>
          <w:lang w:val="en-US"/>
        </w:rPr>
        <w:t xml:space="preserve"> [3,c.109]</w:t>
      </w:r>
      <w:r w:rsidRPr="00D76E39">
        <w:rPr>
          <w:rFonts w:ascii="Times New Roman" w:hAnsi="Times New Roman" w:cs="Times New Roman"/>
          <w:sz w:val="28"/>
          <w:szCs w:val="28"/>
        </w:rPr>
        <w:t>. Цифровая трансформация переводит эти задачи в практическую плоскость. Предстоит показать, как выстроить открытую учебную архитектуру, естественно интегрирующую все доступные школе информационные т</w:t>
      </w:r>
      <w:r>
        <w:rPr>
          <w:rFonts w:ascii="Times New Roman" w:hAnsi="Times New Roman" w:cs="Times New Roman"/>
          <w:sz w:val="28"/>
          <w:szCs w:val="28"/>
        </w:rPr>
        <w:t>ехнологии, как обеспечить пере</w:t>
      </w:r>
      <w:r w:rsidRPr="00D76E39">
        <w:rPr>
          <w:rFonts w:ascii="Times New Roman" w:hAnsi="Times New Roman" w:cs="Times New Roman"/>
          <w:sz w:val="28"/>
          <w:szCs w:val="28"/>
        </w:rPr>
        <w:t>ход учителей от привычной работы в закрытой учебной архитектуре к сознательному использованию всего богатства методических и информационных средств, доступных при работе в открытой учебной архитектуре, как использовать возможности расширяющего свои границы образовательного хронотопа.</w:t>
      </w:r>
    </w:p>
    <w:p w:rsidR="00D76E39" w:rsidRDefault="00D76E3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39">
        <w:rPr>
          <w:rFonts w:ascii="Times New Roman" w:hAnsi="Times New Roman" w:cs="Times New Roman"/>
          <w:sz w:val="28"/>
          <w:szCs w:val="28"/>
        </w:rPr>
        <w:t>Итак, до последнего времени в проц</w:t>
      </w:r>
      <w:r>
        <w:rPr>
          <w:rFonts w:ascii="Times New Roman" w:hAnsi="Times New Roman" w:cs="Times New Roman"/>
          <w:sz w:val="28"/>
          <w:szCs w:val="28"/>
        </w:rPr>
        <w:t>ессе компьютеризации и информа</w:t>
      </w:r>
      <w:r w:rsidRPr="00D76E39">
        <w:rPr>
          <w:rFonts w:ascii="Times New Roman" w:hAnsi="Times New Roman" w:cs="Times New Roman"/>
          <w:sz w:val="28"/>
          <w:szCs w:val="28"/>
        </w:rPr>
        <w:t>тизации в школе преобладали инерционные изменения, закрытая учебная архитектура и хронотоп классно-урочной системы, которые по</w:t>
      </w:r>
      <w:r>
        <w:rPr>
          <w:rFonts w:ascii="Times New Roman" w:hAnsi="Times New Roman" w:cs="Times New Roman"/>
          <w:sz w:val="28"/>
          <w:szCs w:val="28"/>
        </w:rPr>
        <w:t>ддержива</w:t>
      </w:r>
      <w:r w:rsidRPr="00D76E39">
        <w:rPr>
          <w:rFonts w:ascii="Times New Roman" w:hAnsi="Times New Roman" w:cs="Times New Roman"/>
          <w:sz w:val="28"/>
          <w:szCs w:val="28"/>
        </w:rPr>
        <w:t xml:space="preserve">ли традиционную организацию образовательного процесса. Внедрение/ использование ЦТ в учебный процесс (там, </w:t>
      </w:r>
      <w:r>
        <w:rPr>
          <w:rFonts w:ascii="Times New Roman" w:hAnsi="Times New Roman" w:cs="Times New Roman"/>
          <w:sz w:val="28"/>
          <w:szCs w:val="28"/>
        </w:rPr>
        <w:t>где эта работа велась) происхо</w:t>
      </w:r>
      <w:r w:rsidRPr="00D76E39">
        <w:rPr>
          <w:rFonts w:ascii="Times New Roman" w:hAnsi="Times New Roman" w:cs="Times New Roman"/>
          <w:sz w:val="28"/>
          <w:szCs w:val="28"/>
        </w:rPr>
        <w:t>дило на уровне замещения и/или улучшени</w:t>
      </w:r>
      <w:r>
        <w:rPr>
          <w:rFonts w:ascii="Times New Roman" w:hAnsi="Times New Roman" w:cs="Times New Roman"/>
          <w:sz w:val="28"/>
          <w:szCs w:val="28"/>
        </w:rPr>
        <w:t>я, что не давало заметных улуч</w:t>
      </w:r>
      <w:r w:rsidRPr="00D76E39">
        <w:rPr>
          <w:rFonts w:ascii="Times New Roman" w:hAnsi="Times New Roman" w:cs="Times New Roman"/>
          <w:sz w:val="28"/>
          <w:szCs w:val="28"/>
        </w:rPr>
        <w:t>шений образовательных результатов</w:t>
      </w:r>
      <w:r w:rsidR="00371034">
        <w:rPr>
          <w:rFonts w:ascii="Times New Roman" w:hAnsi="Times New Roman" w:cs="Times New Roman"/>
          <w:sz w:val="28"/>
          <w:szCs w:val="28"/>
          <w:lang w:val="en-US"/>
        </w:rPr>
        <w:t xml:space="preserve"> [2,c.67]</w:t>
      </w:r>
      <w:r w:rsidRPr="00D76E39">
        <w:rPr>
          <w:rFonts w:ascii="Times New Roman" w:hAnsi="Times New Roman" w:cs="Times New Roman"/>
          <w:sz w:val="28"/>
          <w:szCs w:val="28"/>
        </w:rPr>
        <w:t>. Внедрение ЦТ на уровне изменения и/или преобразования встречалось нечаст</w:t>
      </w:r>
      <w:r>
        <w:rPr>
          <w:rFonts w:ascii="Times New Roman" w:hAnsi="Times New Roman" w:cs="Times New Roman"/>
          <w:sz w:val="28"/>
          <w:szCs w:val="28"/>
        </w:rPr>
        <w:t>о, а распространение этой прак</w:t>
      </w:r>
      <w:r w:rsidRPr="00D76E39">
        <w:rPr>
          <w:rFonts w:ascii="Times New Roman" w:hAnsi="Times New Roman" w:cs="Times New Roman"/>
          <w:sz w:val="28"/>
          <w:szCs w:val="28"/>
        </w:rPr>
        <w:t xml:space="preserve">тики в </w:t>
      </w:r>
      <w:r>
        <w:rPr>
          <w:rFonts w:ascii="Times New Roman" w:hAnsi="Times New Roman" w:cs="Times New Roman"/>
          <w:sz w:val="28"/>
          <w:szCs w:val="28"/>
        </w:rPr>
        <w:t>действительности отсутствовало</w:t>
      </w:r>
      <w:r w:rsidRPr="00D76E39">
        <w:rPr>
          <w:rFonts w:ascii="Times New Roman" w:hAnsi="Times New Roman" w:cs="Times New Roman"/>
          <w:sz w:val="28"/>
          <w:szCs w:val="28"/>
        </w:rPr>
        <w:t>. Это одна из причин</w:t>
      </w:r>
      <w:r>
        <w:rPr>
          <w:rFonts w:ascii="Times New Roman" w:hAnsi="Times New Roman" w:cs="Times New Roman"/>
          <w:sz w:val="28"/>
          <w:szCs w:val="28"/>
        </w:rPr>
        <w:t xml:space="preserve"> неготовности большинства школ</w:t>
      </w:r>
      <w:r w:rsidRPr="00D76E39">
        <w:rPr>
          <w:rFonts w:ascii="Times New Roman" w:hAnsi="Times New Roman" w:cs="Times New Roman"/>
          <w:sz w:val="28"/>
          <w:szCs w:val="28"/>
        </w:rPr>
        <w:t xml:space="preserve"> тратить средства н</w:t>
      </w:r>
      <w:r>
        <w:rPr>
          <w:rFonts w:ascii="Times New Roman" w:hAnsi="Times New Roman" w:cs="Times New Roman"/>
          <w:sz w:val="28"/>
          <w:szCs w:val="28"/>
        </w:rPr>
        <w:t>а развитие цифровой инфраструк</w:t>
      </w:r>
      <w:r w:rsidRPr="00D76E39">
        <w:rPr>
          <w:rFonts w:ascii="Times New Roman" w:hAnsi="Times New Roman" w:cs="Times New Roman"/>
          <w:sz w:val="28"/>
          <w:szCs w:val="28"/>
        </w:rPr>
        <w:t>туры. В лучшем случае они поддерживают цифровую образовательную среду, созданную в ходе национальных проектов в прошлые годы.</w:t>
      </w:r>
    </w:p>
    <w:p w:rsidR="00B52749" w:rsidRDefault="00B52749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D0F" w:rsidRDefault="005C5D0F" w:rsidP="005C5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D0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C5D0F" w:rsidRPr="005C5D0F" w:rsidRDefault="005C5D0F" w:rsidP="005C5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D0F" w:rsidRPr="003A5809" w:rsidRDefault="005C5D0F" w:rsidP="005C5D0F">
      <w:pPr>
        <w:pStyle w:val="a3"/>
        <w:numPr>
          <w:ilvl w:val="0"/>
          <w:numId w:val="3"/>
        </w:numPr>
        <w:spacing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809">
        <w:rPr>
          <w:rFonts w:ascii="Times New Roman" w:hAnsi="Times New Roman" w:cs="Times New Roman"/>
          <w:w w:val="90"/>
          <w:sz w:val="28"/>
          <w:szCs w:val="28"/>
        </w:rPr>
        <w:t>Адамович К.А., Захаров А.Б. Экзамены с высокими ставками и выбор учащи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мися</w:t>
      </w:r>
      <w:r w:rsidRPr="003A580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3A580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траектории.</w:t>
      </w:r>
      <w:r w:rsidRPr="003A5809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3A580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эффектов</w:t>
      </w:r>
      <w:r w:rsidRPr="003A5809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ЕГЭ</w:t>
      </w:r>
      <w:r w:rsidRPr="003A580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3A5809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времени</w:t>
      </w:r>
      <w:r w:rsidRPr="003A580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A5809">
        <w:rPr>
          <w:rFonts w:ascii="Times New Roman" w:hAnsi="Times New Roman" w:cs="Times New Roman"/>
          <w:spacing w:val="-52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пространстве. Доклад на Семинаре сотрудников Института образова</w:t>
      </w:r>
      <w:r w:rsidRPr="003A5809">
        <w:rPr>
          <w:rFonts w:ascii="Times New Roman" w:hAnsi="Times New Roman" w:cs="Times New Roman"/>
          <w:sz w:val="28"/>
          <w:szCs w:val="28"/>
        </w:rPr>
        <w:t>ния</w:t>
      </w:r>
      <w:r w:rsidRPr="003A580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НИУ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ВШЭ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26.03.2020.</w:t>
      </w:r>
    </w:p>
    <w:p w:rsidR="005C5D0F" w:rsidRPr="003A5809" w:rsidRDefault="005C5D0F" w:rsidP="005C5D0F">
      <w:pPr>
        <w:pStyle w:val="a5"/>
        <w:numPr>
          <w:ilvl w:val="0"/>
          <w:numId w:val="3"/>
        </w:numPr>
        <w:spacing w:line="360" w:lineRule="auto"/>
        <w:ind w:left="709" w:firstLine="360"/>
        <w:rPr>
          <w:rFonts w:ascii="Times New Roman" w:hAnsi="Times New Roman" w:cs="Times New Roman"/>
          <w:sz w:val="28"/>
          <w:szCs w:val="28"/>
        </w:rPr>
      </w:pPr>
      <w:r w:rsidRPr="003A5809">
        <w:rPr>
          <w:rFonts w:ascii="Times New Roman" w:hAnsi="Times New Roman" w:cs="Times New Roman"/>
          <w:w w:val="90"/>
          <w:sz w:val="28"/>
          <w:szCs w:val="28"/>
        </w:rPr>
        <w:t>Асмолов</w:t>
      </w:r>
      <w:r w:rsidRPr="003A580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А.Г.,</w:t>
      </w:r>
      <w:r w:rsidRPr="003A5809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Семенов</w:t>
      </w:r>
      <w:r w:rsidRPr="003A580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А.Л.,</w:t>
      </w:r>
      <w:r w:rsidRPr="003A5809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Уваров</w:t>
      </w:r>
      <w:r w:rsidRPr="003A5809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А.Ю.</w:t>
      </w:r>
      <w:r w:rsidRPr="003A5809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Российская</w:t>
      </w:r>
      <w:r w:rsidRPr="003A5809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школа</w:t>
      </w:r>
      <w:r w:rsidRPr="003A5809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и новые</w:t>
      </w:r>
      <w:r w:rsidRPr="003A5809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0"/>
          <w:sz w:val="28"/>
          <w:szCs w:val="28"/>
        </w:rPr>
        <w:t>информа</w:t>
      </w:r>
      <w:r w:rsidRPr="003A5809">
        <w:rPr>
          <w:rFonts w:ascii="Times New Roman" w:hAnsi="Times New Roman" w:cs="Times New Roman"/>
          <w:spacing w:val="-1"/>
          <w:w w:val="95"/>
          <w:sz w:val="28"/>
          <w:szCs w:val="28"/>
        </w:rPr>
        <w:t>ционные</w:t>
      </w:r>
      <w:r w:rsidRPr="003A580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pacing w:val="-1"/>
          <w:w w:val="95"/>
          <w:sz w:val="28"/>
          <w:szCs w:val="28"/>
        </w:rPr>
        <w:t>технологии:</w:t>
      </w:r>
      <w:r w:rsidRPr="003A580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взгляд</w:t>
      </w:r>
      <w:r w:rsidRPr="003A580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A580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следующее</w:t>
      </w:r>
      <w:r w:rsidRPr="003A580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десятилетие.</w:t>
      </w:r>
      <w:r w:rsidRPr="003A580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М.:</w:t>
      </w:r>
      <w:r w:rsidRPr="003A580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НексПринт,</w:t>
      </w:r>
      <w:r w:rsidRPr="003A5809">
        <w:rPr>
          <w:rFonts w:ascii="Times New Roman" w:hAnsi="Times New Roman" w:cs="Times New Roman"/>
          <w:spacing w:val="-52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2020.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84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с.</w:t>
      </w:r>
    </w:p>
    <w:p w:rsidR="005C5D0F" w:rsidRPr="003A5809" w:rsidRDefault="005C5D0F" w:rsidP="005C5D0F">
      <w:pPr>
        <w:pStyle w:val="a3"/>
        <w:numPr>
          <w:ilvl w:val="0"/>
          <w:numId w:val="3"/>
        </w:numPr>
        <w:spacing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809">
        <w:rPr>
          <w:rFonts w:ascii="Times New Roman" w:hAnsi="Times New Roman" w:cs="Times New Roman"/>
          <w:w w:val="90"/>
          <w:sz w:val="28"/>
          <w:szCs w:val="28"/>
        </w:rPr>
        <w:t>Бауман 3. Текучая современность / Пер. с англ. / Ю.В. Асочаков (ред.). СПб:</w:t>
      </w:r>
      <w:r w:rsidRPr="003A580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Питер,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2020.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240</w:t>
      </w:r>
      <w:r w:rsidRPr="003A580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sz w:val="28"/>
          <w:szCs w:val="28"/>
        </w:rPr>
        <w:t>с.</w:t>
      </w:r>
    </w:p>
    <w:p w:rsidR="005C5D0F" w:rsidRPr="003A5809" w:rsidRDefault="005C5D0F" w:rsidP="005C5D0F">
      <w:pPr>
        <w:pStyle w:val="a5"/>
        <w:numPr>
          <w:ilvl w:val="0"/>
          <w:numId w:val="3"/>
        </w:numPr>
        <w:spacing w:line="360" w:lineRule="auto"/>
        <w:ind w:left="709" w:firstLine="360"/>
        <w:rPr>
          <w:rFonts w:ascii="Times New Roman" w:hAnsi="Times New Roman" w:cs="Times New Roman"/>
          <w:sz w:val="28"/>
          <w:szCs w:val="28"/>
        </w:rPr>
      </w:pPr>
      <w:r w:rsidRPr="003A5809">
        <w:rPr>
          <w:rFonts w:ascii="Times New Roman" w:hAnsi="Times New Roman" w:cs="Times New Roman"/>
          <w:w w:val="90"/>
          <w:sz w:val="28"/>
          <w:szCs w:val="28"/>
        </w:rPr>
        <w:t>Каракозов С.Д., Сулейманов Р.С., Уваров А.Ю. Ориентиры развития цифровой</w:t>
      </w:r>
      <w:r w:rsidRPr="003A5809">
        <w:rPr>
          <w:rFonts w:ascii="Times New Roman" w:hAnsi="Times New Roman" w:cs="Times New Roman"/>
          <w:spacing w:val="-49"/>
          <w:w w:val="90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среды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МПГУ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//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Наука</w:t>
      </w:r>
      <w:r w:rsidRPr="003A580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школа.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8.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2019.</w:t>
      </w:r>
    </w:p>
    <w:p w:rsidR="005C5D0F" w:rsidRPr="003A5809" w:rsidRDefault="005C5D0F" w:rsidP="005C5D0F">
      <w:pPr>
        <w:pStyle w:val="a3"/>
        <w:numPr>
          <w:ilvl w:val="0"/>
          <w:numId w:val="3"/>
        </w:numPr>
        <w:spacing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809">
        <w:rPr>
          <w:rFonts w:ascii="Times New Roman" w:hAnsi="Times New Roman" w:cs="Times New Roman"/>
          <w:w w:val="90"/>
          <w:sz w:val="28"/>
          <w:szCs w:val="28"/>
        </w:rPr>
        <w:t>Уваров А.Ю. Информатизация школы: вчера, сегодня, завтра. М.: Бином. Ла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боратория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Знаний,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2020.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484</w:t>
      </w:r>
      <w:r w:rsidRPr="003A580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A5809">
        <w:rPr>
          <w:rFonts w:ascii="Times New Roman" w:hAnsi="Times New Roman" w:cs="Times New Roman"/>
          <w:w w:val="95"/>
          <w:sz w:val="28"/>
          <w:szCs w:val="28"/>
        </w:rPr>
        <w:t>с.</w:t>
      </w:r>
    </w:p>
    <w:p w:rsidR="005C5D0F" w:rsidRPr="005C5D0F" w:rsidRDefault="005C5D0F" w:rsidP="005C5D0F">
      <w:p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D0F" w:rsidRPr="005C5D0F" w:rsidRDefault="005C5D0F" w:rsidP="005C5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D0F" w:rsidRPr="005C5D0F" w:rsidRDefault="005C5D0F" w:rsidP="00D7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5D0F" w:rsidRPr="005C5D0F" w:rsidSect="00D76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D5" w:rsidRDefault="006541D5">
      <w:pPr>
        <w:spacing w:after="0" w:line="240" w:lineRule="auto"/>
      </w:pPr>
      <w:r>
        <w:separator/>
      </w:r>
    </w:p>
  </w:endnote>
  <w:endnote w:type="continuationSeparator" w:id="0">
    <w:p w:rsidR="006541D5" w:rsidRDefault="0065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D5" w:rsidRDefault="006541D5">
      <w:pPr>
        <w:spacing w:after="0" w:line="240" w:lineRule="auto"/>
      </w:pPr>
      <w:r>
        <w:separator/>
      </w:r>
    </w:p>
  </w:footnote>
  <w:footnote w:type="continuationSeparator" w:id="0">
    <w:p w:rsidR="006541D5" w:rsidRDefault="0065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398"/>
    <w:multiLevelType w:val="hybridMultilevel"/>
    <w:tmpl w:val="4CDAA216"/>
    <w:lvl w:ilvl="0" w:tplc="C63099C0">
      <w:numFmt w:val="bullet"/>
      <w:lvlText w:val=""/>
      <w:lvlJc w:val="left"/>
      <w:pPr>
        <w:ind w:left="190" w:hanging="186"/>
      </w:pPr>
      <w:rPr>
        <w:rFonts w:ascii="Wingdings" w:eastAsia="Wingdings" w:hAnsi="Wingdings" w:cs="Wingdings" w:hint="default"/>
        <w:color w:val="231F20"/>
        <w:w w:val="102"/>
        <w:sz w:val="19"/>
        <w:szCs w:val="19"/>
        <w:lang w:val="ru-RU" w:eastAsia="en-US" w:bidi="ar-SA"/>
      </w:rPr>
    </w:lvl>
    <w:lvl w:ilvl="1" w:tplc="08AE4E3E">
      <w:numFmt w:val="bullet"/>
      <w:lvlText w:val=""/>
      <w:lvlJc w:val="left"/>
      <w:pPr>
        <w:ind w:left="360" w:hanging="186"/>
      </w:pPr>
      <w:rPr>
        <w:rFonts w:ascii="Wingdings" w:eastAsia="Wingdings" w:hAnsi="Wingdings" w:cs="Wingdings" w:hint="default"/>
        <w:color w:val="231F20"/>
        <w:w w:val="102"/>
        <w:sz w:val="19"/>
        <w:szCs w:val="19"/>
        <w:lang w:val="ru-RU" w:eastAsia="en-US" w:bidi="ar-SA"/>
      </w:rPr>
    </w:lvl>
    <w:lvl w:ilvl="2" w:tplc="1B5AAE60">
      <w:numFmt w:val="bullet"/>
      <w:lvlText w:val=""/>
      <w:lvlJc w:val="left"/>
      <w:pPr>
        <w:ind w:left="643" w:hanging="193"/>
      </w:pPr>
      <w:rPr>
        <w:rFonts w:ascii="Wingdings" w:eastAsia="Wingdings" w:hAnsi="Wingdings" w:cs="Wingdings" w:hint="default"/>
        <w:color w:val="231F20"/>
        <w:w w:val="100"/>
        <w:position w:val="2"/>
        <w:sz w:val="10"/>
        <w:szCs w:val="10"/>
        <w:lang w:val="ru-RU" w:eastAsia="en-US" w:bidi="ar-SA"/>
      </w:rPr>
    </w:lvl>
    <w:lvl w:ilvl="3" w:tplc="1DEEB118">
      <w:numFmt w:val="bullet"/>
      <w:lvlText w:val="•"/>
      <w:lvlJc w:val="left"/>
      <w:pPr>
        <w:ind w:left="820" w:hanging="193"/>
      </w:pPr>
      <w:rPr>
        <w:rFonts w:hint="default"/>
        <w:lang w:val="ru-RU" w:eastAsia="en-US" w:bidi="ar-SA"/>
      </w:rPr>
    </w:lvl>
    <w:lvl w:ilvl="4" w:tplc="5CA49AAC">
      <w:numFmt w:val="bullet"/>
      <w:lvlText w:val="•"/>
      <w:lvlJc w:val="left"/>
      <w:pPr>
        <w:ind w:left="1677" w:hanging="193"/>
      </w:pPr>
      <w:rPr>
        <w:rFonts w:hint="default"/>
        <w:lang w:val="ru-RU" w:eastAsia="en-US" w:bidi="ar-SA"/>
      </w:rPr>
    </w:lvl>
    <w:lvl w:ilvl="5" w:tplc="4F14185E">
      <w:numFmt w:val="bullet"/>
      <w:lvlText w:val="•"/>
      <w:lvlJc w:val="left"/>
      <w:pPr>
        <w:ind w:left="2534" w:hanging="193"/>
      </w:pPr>
      <w:rPr>
        <w:rFonts w:hint="default"/>
        <w:lang w:val="ru-RU" w:eastAsia="en-US" w:bidi="ar-SA"/>
      </w:rPr>
    </w:lvl>
    <w:lvl w:ilvl="6" w:tplc="521A433C">
      <w:numFmt w:val="bullet"/>
      <w:lvlText w:val="•"/>
      <w:lvlJc w:val="left"/>
      <w:pPr>
        <w:ind w:left="3391" w:hanging="193"/>
      </w:pPr>
      <w:rPr>
        <w:rFonts w:hint="default"/>
        <w:lang w:val="ru-RU" w:eastAsia="en-US" w:bidi="ar-SA"/>
      </w:rPr>
    </w:lvl>
    <w:lvl w:ilvl="7" w:tplc="D4B008AA">
      <w:numFmt w:val="bullet"/>
      <w:lvlText w:val="•"/>
      <w:lvlJc w:val="left"/>
      <w:pPr>
        <w:ind w:left="4248" w:hanging="193"/>
      </w:pPr>
      <w:rPr>
        <w:rFonts w:hint="default"/>
        <w:lang w:val="ru-RU" w:eastAsia="en-US" w:bidi="ar-SA"/>
      </w:rPr>
    </w:lvl>
    <w:lvl w:ilvl="8" w:tplc="D8F25FB8">
      <w:numFmt w:val="bullet"/>
      <w:lvlText w:val="•"/>
      <w:lvlJc w:val="left"/>
      <w:pPr>
        <w:ind w:left="5106" w:hanging="193"/>
      </w:pPr>
      <w:rPr>
        <w:rFonts w:hint="default"/>
        <w:lang w:val="ru-RU" w:eastAsia="en-US" w:bidi="ar-SA"/>
      </w:rPr>
    </w:lvl>
  </w:abstractNum>
  <w:abstractNum w:abstractNumId="1">
    <w:nsid w:val="22ED055A"/>
    <w:multiLevelType w:val="hybridMultilevel"/>
    <w:tmpl w:val="F138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61D5"/>
    <w:multiLevelType w:val="hybridMultilevel"/>
    <w:tmpl w:val="CCB25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39"/>
    <w:rsid w:val="00371034"/>
    <w:rsid w:val="003A5809"/>
    <w:rsid w:val="005C5D0F"/>
    <w:rsid w:val="006541D5"/>
    <w:rsid w:val="00883B65"/>
    <w:rsid w:val="00B52749"/>
    <w:rsid w:val="00D76E39"/>
    <w:rsid w:val="00F62157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E3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6E39"/>
    <w:rPr>
      <w:rFonts w:ascii="Trebuchet MS" w:eastAsia="Trebuchet MS" w:hAnsi="Trebuchet MS" w:cs="Trebuchet MS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D76E39"/>
    <w:pPr>
      <w:widowControl w:val="0"/>
      <w:autoSpaceDE w:val="0"/>
      <w:autoSpaceDN w:val="0"/>
      <w:spacing w:after="0" w:line="240" w:lineRule="auto"/>
      <w:ind w:left="190" w:firstLine="283"/>
      <w:jc w:val="both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E3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6E39"/>
    <w:rPr>
      <w:rFonts w:ascii="Trebuchet MS" w:eastAsia="Trebuchet MS" w:hAnsi="Trebuchet MS" w:cs="Trebuchet MS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D76E39"/>
    <w:pPr>
      <w:widowControl w:val="0"/>
      <w:autoSpaceDE w:val="0"/>
      <w:autoSpaceDN w:val="0"/>
      <w:spacing w:after="0" w:line="240" w:lineRule="auto"/>
      <w:ind w:left="190" w:firstLine="283"/>
      <w:jc w:val="both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dcterms:created xsi:type="dcterms:W3CDTF">2023-04-10T18:32:00Z</dcterms:created>
  <dcterms:modified xsi:type="dcterms:W3CDTF">2023-04-10T18:32:00Z</dcterms:modified>
</cp:coreProperties>
</file>