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12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34" w:rsidRDefault="00280634" w:rsidP="00280634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работы использовались методы анкетирования и интервьюирования. Выбор метода зависел от физических возможностей пациента. Исследование проводилось в период с 15 февраля 2021 по 1 марта 2022 года. В исследовании</w:t>
      </w:r>
      <w:r w:rsidRPr="00C9512A">
        <w:rPr>
          <w:rFonts w:ascii="Times New Roman" w:hAnsi="Times New Roman" w:cs="Times New Roman"/>
          <w:bCs/>
          <w:sz w:val="28"/>
          <w:szCs w:val="28"/>
        </w:rPr>
        <w:t xml:space="preserve"> приняли участие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311 пациентов, с различной степенью тяжести заболевания. </w:t>
      </w:r>
      <w:bookmarkStart w:id="0" w:name="_Toc26691108"/>
    </w:p>
    <w:p w:rsidR="00280634" w:rsidRPr="00BC7925" w:rsidRDefault="00280634" w:rsidP="00280634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возрасту пациенты были разделены на 3 группы: </w:t>
      </w:r>
      <w:r w:rsidRPr="00BC7925">
        <w:rPr>
          <w:rFonts w:ascii="Times New Roman" w:hAnsi="Times New Roman" w:cs="Times New Roman"/>
          <w:bCs/>
          <w:sz w:val="28"/>
          <w:szCs w:val="28"/>
        </w:rPr>
        <w:t>от 18 до 29 лет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C7925">
        <w:rPr>
          <w:rFonts w:ascii="Times New Roman" w:hAnsi="Times New Roman" w:cs="Times New Roman"/>
          <w:bCs/>
          <w:sz w:val="28"/>
          <w:szCs w:val="28"/>
        </w:rPr>
        <w:t>17%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193B2B">
        <w:rPr>
          <w:rFonts w:ascii="Times New Roman" w:hAnsi="Times New Roman" w:cs="Times New Roman"/>
          <w:bCs/>
          <w:sz w:val="28"/>
          <w:szCs w:val="28"/>
        </w:rPr>
        <w:t>53 человека</w:t>
      </w:r>
      <w:r>
        <w:rPr>
          <w:rFonts w:ascii="Times New Roman" w:hAnsi="Times New Roman" w:cs="Times New Roman"/>
          <w:bCs/>
          <w:sz w:val="28"/>
          <w:szCs w:val="28"/>
        </w:rPr>
        <w:t>),</w:t>
      </w:r>
      <w:r w:rsidRPr="00BC7925">
        <w:rPr>
          <w:rFonts w:ascii="Times New Roman" w:hAnsi="Times New Roman" w:cs="Times New Roman"/>
          <w:bCs/>
          <w:sz w:val="28"/>
          <w:szCs w:val="28"/>
        </w:rPr>
        <w:t xml:space="preserve"> от 30 до 59 лет</w:t>
      </w:r>
      <w:r>
        <w:rPr>
          <w:rFonts w:ascii="Times New Roman" w:hAnsi="Times New Roman" w:cs="Times New Roman"/>
          <w:bCs/>
          <w:sz w:val="28"/>
          <w:szCs w:val="28"/>
        </w:rPr>
        <w:t>- 32%(</w:t>
      </w:r>
      <w:r w:rsidRPr="00193B2B">
        <w:rPr>
          <w:rFonts w:ascii="Times New Roman" w:hAnsi="Times New Roman" w:cs="Times New Roman"/>
          <w:bCs/>
          <w:sz w:val="28"/>
          <w:szCs w:val="28"/>
        </w:rPr>
        <w:t>100 человек</w:t>
      </w:r>
      <w:r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BC7925">
        <w:rPr>
          <w:rFonts w:ascii="Times New Roman" w:hAnsi="Times New Roman" w:cs="Times New Roman"/>
          <w:bCs/>
          <w:sz w:val="28"/>
          <w:szCs w:val="28"/>
        </w:rPr>
        <w:t>от 59 лет и выше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C7925">
        <w:rPr>
          <w:rFonts w:ascii="Times New Roman" w:hAnsi="Times New Roman" w:cs="Times New Roman"/>
          <w:bCs/>
          <w:sz w:val="28"/>
          <w:szCs w:val="28"/>
        </w:rPr>
        <w:t>51%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193B2B">
        <w:rPr>
          <w:rFonts w:ascii="Times New Roman" w:hAnsi="Times New Roman" w:cs="Times New Roman"/>
          <w:bCs/>
          <w:sz w:val="28"/>
          <w:szCs w:val="28"/>
        </w:rPr>
        <w:t>159 человек</w:t>
      </w:r>
      <w:r>
        <w:rPr>
          <w:rFonts w:ascii="Times New Roman" w:hAnsi="Times New Roman" w:cs="Times New Roman"/>
          <w:bCs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(Рис. 2.1.)</w:t>
      </w:r>
    </w:p>
    <w:p w:rsidR="00280634" w:rsidRDefault="00280634" w:rsidP="0028063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448050" cy="1638300"/>
            <wp:effectExtent l="19050" t="0" r="0" b="0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80634" w:rsidRDefault="00280634" w:rsidP="002806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0430383"/>
      <w:r w:rsidRPr="001A6639">
        <w:rPr>
          <w:rFonts w:ascii="Times New Roman" w:hAnsi="Times New Roman" w:cs="Times New Roman"/>
          <w:sz w:val="24"/>
          <w:szCs w:val="24"/>
        </w:rPr>
        <w:t>Рис. 2.1.</w:t>
      </w:r>
      <w:r>
        <w:rPr>
          <w:rFonts w:ascii="Times New Roman" w:hAnsi="Times New Roman" w:cs="Times New Roman"/>
          <w:sz w:val="24"/>
          <w:szCs w:val="24"/>
        </w:rPr>
        <w:t xml:space="preserve"> Распределение</w:t>
      </w:r>
      <w:r w:rsidRPr="00BC7925">
        <w:rPr>
          <w:rFonts w:ascii="Times New Roman" w:hAnsi="Times New Roman" w:cs="Times New Roman"/>
          <w:sz w:val="24"/>
          <w:szCs w:val="24"/>
        </w:rPr>
        <w:t xml:space="preserve"> пациентов по возрасту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280634" w:rsidRDefault="00280634" w:rsidP="002806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543300" cy="1504950"/>
            <wp:effectExtent l="19050" t="0" r="0" b="0"/>
            <wp:docPr id="2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80634" w:rsidRDefault="00280634" w:rsidP="002806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0431624"/>
      <w:r w:rsidRPr="001A6639">
        <w:rPr>
          <w:rFonts w:ascii="Times New Roman" w:hAnsi="Times New Roman" w:cs="Times New Roman"/>
          <w:sz w:val="24"/>
          <w:szCs w:val="24"/>
        </w:rPr>
        <w:t>Рис. 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6639">
        <w:rPr>
          <w:rFonts w:ascii="Times New Roman" w:hAnsi="Times New Roman" w:cs="Times New Roman"/>
          <w:sz w:val="24"/>
          <w:szCs w:val="24"/>
        </w:rPr>
        <w:t>.</w:t>
      </w:r>
      <w:r w:rsidRPr="00703E17">
        <w:rPr>
          <w:rFonts w:ascii="Times New Roman" w:hAnsi="Times New Roman" w:cs="Times New Roman"/>
          <w:sz w:val="24"/>
          <w:szCs w:val="24"/>
        </w:rPr>
        <w:t xml:space="preserve"> Частота заболевания ОРВИ и гриппом.</w:t>
      </w:r>
    </w:p>
    <w:bookmarkEnd w:id="2"/>
    <w:p w:rsidR="00280634" w:rsidRDefault="00280634" w:rsidP="0028063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67125" cy="1943100"/>
            <wp:effectExtent l="19050" t="0" r="0" b="0"/>
            <wp:docPr id="3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80634" w:rsidRDefault="00280634" w:rsidP="002806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0432298"/>
      <w:r w:rsidRPr="001A6639">
        <w:rPr>
          <w:rFonts w:ascii="Times New Roman" w:hAnsi="Times New Roman" w:cs="Times New Roman"/>
          <w:sz w:val="24"/>
          <w:szCs w:val="24"/>
        </w:rPr>
        <w:lastRenderedPageBreak/>
        <w:t>Рис. 2.</w:t>
      </w:r>
      <w:r>
        <w:rPr>
          <w:rFonts w:ascii="Times New Roman" w:hAnsi="Times New Roman" w:cs="Times New Roman"/>
          <w:sz w:val="24"/>
          <w:szCs w:val="24"/>
        </w:rPr>
        <w:t>3. Статистика привитых.</w:t>
      </w:r>
    </w:p>
    <w:bookmarkEnd w:id="3"/>
    <w:p w:rsidR="00280634" w:rsidRDefault="00280634" w:rsidP="002806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990975" cy="2647950"/>
            <wp:effectExtent l="19050" t="0" r="0" b="0"/>
            <wp:docPr id="4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80634" w:rsidRDefault="00280634" w:rsidP="002806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0434632"/>
      <w:r w:rsidRPr="001A6639">
        <w:rPr>
          <w:rFonts w:ascii="Times New Roman" w:hAnsi="Times New Roman" w:cs="Times New Roman"/>
          <w:sz w:val="24"/>
          <w:szCs w:val="24"/>
        </w:rPr>
        <w:t>Рис. 2.</w:t>
      </w:r>
      <w:r>
        <w:rPr>
          <w:rFonts w:ascii="Times New Roman" w:hAnsi="Times New Roman" w:cs="Times New Roman"/>
          <w:sz w:val="24"/>
          <w:szCs w:val="24"/>
        </w:rPr>
        <w:t>4. Причина вакцинации.</w:t>
      </w:r>
    </w:p>
    <w:bookmarkEnd w:id="4"/>
    <w:p w:rsidR="00280634" w:rsidRDefault="00280634" w:rsidP="002806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00525" cy="2124075"/>
            <wp:effectExtent l="19050" t="0" r="0" b="0"/>
            <wp:docPr id="5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80634" w:rsidRDefault="00280634" w:rsidP="002806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00439733"/>
      <w:r w:rsidRPr="001A6639">
        <w:rPr>
          <w:rFonts w:ascii="Times New Roman" w:hAnsi="Times New Roman" w:cs="Times New Roman"/>
          <w:sz w:val="24"/>
          <w:szCs w:val="24"/>
        </w:rPr>
        <w:t>Рис. 2.</w:t>
      </w:r>
      <w:r>
        <w:rPr>
          <w:rFonts w:ascii="Times New Roman" w:hAnsi="Times New Roman" w:cs="Times New Roman"/>
          <w:sz w:val="24"/>
          <w:szCs w:val="24"/>
        </w:rPr>
        <w:t>5. Причины отказа от вакцинации.</w:t>
      </w:r>
    </w:p>
    <w:bookmarkEnd w:id="5"/>
    <w:p w:rsidR="00280634" w:rsidRDefault="00280634" w:rsidP="002806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33875" cy="1933575"/>
            <wp:effectExtent l="19050" t="0" r="0" b="0"/>
            <wp:docPr id="6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80634" w:rsidRDefault="00280634" w:rsidP="002806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00440712"/>
      <w:r w:rsidRPr="001A6639">
        <w:rPr>
          <w:rFonts w:ascii="Times New Roman" w:hAnsi="Times New Roman" w:cs="Times New Roman"/>
          <w:sz w:val="24"/>
          <w:szCs w:val="24"/>
        </w:rPr>
        <w:t>Рис. 2.</w:t>
      </w:r>
      <w:r>
        <w:rPr>
          <w:rFonts w:ascii="Times New Roman" w:hAnsi="Times New Roman" w:cs="Times New Roman"/>
          <w:sz w:val="24"/>
          <w:szCs w:val="24"/>
        </w:rPr>
        <w:t>6. Лечение дома, до госпитализации.</w:t>
      </w:r>
    </w:p>
    <w:bookmarkEnd w:id="6"/>
    <w:p w:rsidR="00280634" w:rsidRDefault="00280634" w:rsidP="0028063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238625" cy="1838325"/>
            <wp:effectExtent l="19050" t="0" r="0" b="0"/>
            <wp:docPr id="7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80634" w:rsidRDefault="00280634" w:rsidP="002806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00441559"/>
      <w:r w:rsidRPr="001A6639">
        <w:rPr>
          <w:rFonts w:ascii="Times New Roman" w:hAnsi="Times New Roman" w:cs="Times New Roman"/>
          <w:sz w:val="24"/>
          <w:szCs w:val="24"/>
        </w:rPr>
        <w:t>Рис. 2.</w:t>
      </w:r>
      <w:r>
        <w:rPr>
          <w:rFonts w:ascii="Times New Roman" w:hAnsi="Times New Roman" w:cs="Times New Roman"/>
          <w:sz w:val="24"/>
          <w:szCs w:val="24"/>
        </w:rPr>
        <w:t xml:space="preserve">7. Наличие контакта с больными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9563C2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 в течение 14 дней.</w:t>
      </w:r>
    </w:p>
    <w:bookmarkEnd w:id="7"/>
    <w:p w:rsidR="00280634" w:rsidRDefault="00280634" w:rsidP="002806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10050" cy="1657350"/>
            <wp:effectExtent l="19050" t="0" r="0" b="0"/>
            <wp:docPr id="8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80634" w:rsidRDefault="00280634" w:rsidP="002806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00441796"/>
      <w:r w:rsidRPr="001A6639">
        <w:rPr>
          <w:rFonts w:ascii="Times New Roman" w:hAnsi="Times New Roman" w:cs="Times New Roman"/>
          <w:sz w:val="24"/>
          <w:szCs w:val="24"/>
        </w:rPr>
        <w:t>Рис. 2.</w:t>
      </w:r>
      <w:r>
        <w:rPr>
          <w:rFonts w:ascii="Times New Roman" w:hAnsi="Times New Roman" w:cs="Times New Roman"/>
          <w:sz w:val="24"/>
          <w:szCs w:val="24"/>
        </w:rPr>
        <w:t xml:space="preserve">8. </w:t>
      </w:r>
      <w:bookmarkEnd w:id="8"/>
      <w:r>
        <w:rPr>
          <w:rFonts w:ascii="Times New Roman" w:hAnsi="Times New Roman" w:cs="Times New Roman"/>
          <w:sz w:val="24"/>
          <w:szCs w:val="24"/>
        </w:rPr>
        <w:t>С</w:t>
      </w:r>
      <w:r w:rsidRPr="00104CE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104CE1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04CE1">
        <w:rPr>
          <w:rFonts w:ascii="Times New Roman" w:hAnsi="Times New Roman" w:cs="Times New Roman"/>
          <w:sz w:val="24"/>
          <w:szCs w:val="24"/>
        </w:rPr>
        <w:t xml:space="preserve"> Роспотребнадзора по профилактике новой коронавирусной инфекции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634" w:rsidRDefault="00280634" w:rsidP="002806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38675" cy="2266950"/>
            <wp:effectExtent l="19050" t="0" r="0" b="0"/>
            <wp:docPr id="9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80634" w:rsidRDefault="00280634" w:rsidP="002806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_Hlk100442847"/>
      <w:r w:rsidRPr="001A6639">
        <w:rPr>
          <w:rFonts w:ascii="Times New Roman" w:hAnsi="Times New Roman" w:cs="Times New Roman"/>
          <w:sz w:val="24"/>
          <w:szCs w:val="24"/>
        </w:rPr>
        <w:t>Рис. 2.</w:t>
      </w:r>
      <w:r>
        <w:rPr>
          <w:rFonts w:ascii="Times New Roman" w:hAnsi="Times New Roman" w:cs="Times New Roman"/>
          <w:sz w:val="24"/>
          <w:szCs w:val="24"/>
        </w:rPr>
        <w:t xml:space="preserve">9. Наличие сопутствующих хронических заболеваний у пациентов. </w:t>
      </w:r>
    </w:p>
    <w:bookmarkEnd w:id="9"/>
    <w:p w:rsidR="00280634" w:rsidRDefault="00280634" w:rsidP="002806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448175" cy="1952625"/>
            <wp:effectExtent l="19050" t="0" r="0" b="0"/>
            <wp:docPr id="10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80634" w:rsidRDefault="00280634" w:rsidP="002806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_Hlk100666722"/>
      <w:r w:rsidRPr="001A6639">
        <w:rPr>
          <w:rFonts w:ascii="Times New Roman" w:hAnsi="Times New Roman" w:cs="Times New Roman"/>
          <w:sz w:val="24"/>
          <w:szCs w:val="24"/>
        </w:rPr>
        <w:t>Рис. 2.</w:t>
      </w:r>
      <w:r>
        <w:rPr>
          <w:rFonts w:ascii="Times New Roman" w:hAnsi="Times New Roman" w:cs="Times New Roman"/>
          <w:sz w:val="24"/>
          <w:szCs w:val="24"/>
        </w:rPr>
        <w:t xml:space="preserve">10. Источники получения </w:t>
      </w:r>
      <w:r w:rsidRPr="00E43EEE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3EEE">
        <w:rPr>
          <w:rFonts w:ascii="Times New Roman" w:hAnsi="Times New Roman" w:cs="Times New Roman"/>
          <w:sz w:val="24"/>
          <w:szCs w:val="24"/>
        </w:rPr>
        <w:t xml:space="preserve"> по профилактике коронавирусной инфекции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bookmarkEnd w:id="10"/>
    <w:p w:rsidR="00280634" w:rsidRDefault="00280634" w:rsidP="002806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Определяющую роль после поступления пациента с коронавирусной инфекцией</w:t>
      </w:r>
      <w:r w:rsidR="00BF4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стационар, играет организация качественного сестринского ухода, о</w:t>
      </w:r>
      <w:r w:rsidRPr="008A78DA">
        <w:rPr>
          <w:rFonts w:ascii="Times New Roman" w:hAnsi="Times New Roman"/>
          <w:sz w:val="28"/>
          <w:szCs w:val="28"/>
        </w:rPr>
        <w:t xml:space="preserve">бъем </w:t>
      </w:r>
      <w:r>
        <w:rPr>
          <w:rFonts w:ascii="Times New Roman" w:hAnsi="Times New Roman"/>
          <w:sz w:val="28"/>
          <w:szCs w:val="28"/>
        </w:rPr>
        <w:t>которого</w:t>
      </w:r>
      <w:r w:rsidRPr="008A78DA">
        <w:rPr>
          <w:rFonts w:ascii="Times New Roman" w:hAnsi="Times New Roman"/>
          <w:sz w:val="28"/>
          <w:szCs w:val="28"/>
        </w:rPr>
        <w:t xml:space="preserve"> определяется тяжестью состояния пациента. Учитывая то, что у большей части пациентов заболевание было осложнено пневмонией</w:t>
      </w:r>
      <w:r>
        <w:rPr>
          <w:rFonts w:ascii="Times New Roman" w:hAnsi="Times New Roman"/>
          <w:sz w:val="28"/>
          <w:szCs w:val="28"/>
        </w:rPr>
        <w:t xml:space="preserve">, их состояние расценивалось как тяжелое. Пациенты нуждались в проведении </w:t>
      </w:r>
      <w:r w:rsidRPr="008A78DA">
        <w:rPr>
          <w:rFonts w:ascii="Times New Roman" w:hAnsi="Times New Roman"/>
          <w:sz w:val="28"/>
          <w:szCs w:val="28"/>
        </w:rPr>
        <w:t>оксигенотерапии</w:t>
      </w:r>
      <w:r w:rsidR="00BF4911">
        <w:rPr>
          <w:rFonts w:ascii="Times New Roman" w:hAnsi="Times New Roman"/>
          <w:sz w:val="28"/>
          <w:szCs w:val="28"/>
        </w:rPr>
        <w:t>, в организации которой мы принимали</w:t>
      </w:r>
      <w:r>
        <w:rPr>
          <w:rFonts w:ascii="Times New Roman" w:hAnsi="Times New Roman"/>
          <w:sz w:val="28"/>
          <w:szCs w:val="28"/>
        </w:rPr>
        <w:t xml:space="preserve"> активное участие. Кроме этого, важным было организовать для них правильного положения в постели</w:t>
      </w:r>
      <w:r w:rsidRPr="008A78DA">
        <w:rPr>
          <w:rFonts w:ascii="Times New Roman" w:hAnsi="Times New Roman"/>
          <w:sz w:val="28"/>
          <w:szCs w:val="28"/>
        </w:rPr>
        <w:t xml:space="preserve">. С этой целью в соответствии с листом врачебных назначений </w:t>
      </w:r>
      <w:r w:rsidR="00BF4911">
        <w:rPr>
          <w:rFonts w:ascii="Times New Roman" w:hAnsi="Times New Roman"/>
          <w:sz w:val="28"/>
          <w:szCs w:val="28"/>
        </w:rPr>
        <w:t xml:space="preserve">нами </w:t>
      </w:r>
      <w:r w:rsidRPr="008A78DA">
        <w:rPr>
          <w:rFonts w:ascii="Times New Roman" w:hAnsi="Times New Roman"/>
          <w:sz w:val="28"/>
          <w:szCs w:val="28"/>
        </w:rPr>
        <w:t xml:space="preserve">проводилась подготовка концентратора, смена одноразовых масок пациенту и </w:t>
      </w:r>
      <w:r>
        <w:rPr>
          <w:rFonts w:ascii="Times New Roman" w:hAnsi="Times New Roman"/>
          <w:sz w:val="28"/>
          <w:szCs w:val="28"/>
        </w:rPr>
        <w:t>осуществление</w:t>
      </w:r>
      <w:r w:rsidRPr="008A78DA">
        <w:rPr>
          <w:rFonts w:ascii="Times New Roman" w:hAnsi="Times New Roman"/>
          <w:sz w:val="28"/>
          <w:szCs w:val="28"/>
        </w:rPr>
        <w:t xml:space="preserve"> ингаляци</w:t>
      </w:r>
      <w:r>
        <w:rPr>
          <w:rFonts w:ascii="Times New Roman" w:hAnsi="Times New Roman"/>
          <w:sz w:val="28"/>
          <w:szCs w:val="28"/>
        </w:rPr>
        <w:t>й</w:t>
      </w:r>
      <w:r w:rsidRPr="008A78DA">
        <w:rPr>
          <w:rFonts w:ascii="Times New Roman" w:hAnsi="Times New Roman"/>
          <w:sz w:val="28"/>
          <w:szCs w:val="28"/>
        </w:rPr>
        <w:t xml:space="preserve"> не менее 3 раз/сутки с применением </w:t>
      </w:r>
      <w:r>
        <w:rPr>
          <w:rFonts w:ascii="Times New Roman" w:hAnsi="Times New Roman"/>
          <w:sz w:val="28"/>
          <w:szCs w:val="28"/>
        </w:rPr>
        <w:t xml:space="preserve">препаратов </w:t>
      </w:r>
      <w:r w:rsidRPr="008A78DA">
        <w:rPr>
          <w:rFonts w:ascii="Times New Roman" w:hAnsi="Times New Roman"/>
          <w:sz w:val="28"/>
          <w:szCs w:val="28"/>
        </w:rPr>
        <w:t>(</w:t>
      </w:r>
      <w:proofErr w:type="spellStart"/>
      <w:r w:rsidRPr="008A78DA">
        <w:rPr>
          <w:rFonts w:ascii="Times New Roman" w:hAnsi="Times New Roman"/>
          <w:sz w:val="28"/>
          <w:szCs w:val="28"/>
        </w:rPr>
        <w:t>Лейтрагин</w:t>
      </w:r>
      <w:proofErr w:type="spellEnd"/>
      <w:r w:rsidRPr="008A78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78DA">
        <w:rPr>
          <w:rFonts w:ascii="Times New Roman" w:hAnsi="Times New Roman"/>
          <w:sz w:val="28"/>
          <w:szCs w:val="28"/>
        </w:rPr>
        <w:t>Асмапен</w:t>
      </w:r>
      <w:proofErr w:type="spellEnd"/>
      <w:r w:rsidRPr="008A78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78DA">
        <w:rPr>
          <w:rFonts w:ascii="Times New Roman" w:hAnsi="Times New Roman"/>
          <w:sz w:val="28"/>
          <w:szCs w:val="28"/>
        </w:rPr>
        <w:t>Будисанид</w:t>
      </w:r>
      <w:proofErr w:type="spellEnd"/>
      <w:r w:rsidRPr="008A78D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смена положения больного каждые 2 часа. </w:t>
      </w:r>
    </w:p>
    <w:p w:rsidR="00280634" w:rsidRDefault="00280634" w:rsidP="0028063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72175" cy="2371725"/>
            <wp:effectExtent l="19050" t="0" r="0" b="0"/>
            <wp:docPr id="1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80634" w:rsidRDefault="00280634" w:rsidP="002806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39">
        <w:rPr>
          <w:rFonts w:ascii="Times New Roman" w:hAnsi="Times New Roman" w:cs="Times New Roman"/>
          <w:sz w:val="24"/>
          <w:szCs w:val="24"/>
        </w:rPr>
        <w:t>Рис. 2.</w:t>
      </w:r>
      <w:r>
        <w:rPr>
          <w:rFonts w:ascii="Times New Roman" w:hAnsi="Times New Roman" w:cs="Times New Roman"/>
          <w:sz w:val="24"/>
          <w:szCs w:val="24"/>
        </w:rPr>
        <w:t>11. Объем сестринского ухода при дыхательной недостаточности.</w:t>
      </w:r>
    </w:p>
    <w:p w:rsidR="00280634" w:rsidRDefault="00280634" w:rsidP="002806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Тяжелое течение коронавирусной инфекции не позволяло пациентам самостоятельно проводить гигиенические мероприятия.  В связи с этим </w:t>
      </w:r>
      <w:r w:rsidR="00BF4911">
        <w:rPr>
          <w:rFonts w:ascii="Times New Roman" w:hAnsi="Times New Roman"/>
          <w:sz w:val="28"/>
          <w:szCs w:val="28"/>
        </w:rPr>
        <w:t>нами</w:t>
      </w:r>
    </w:p>
    <w:p w:rsidR="00280634" w:rsidRDefault="00280634" w:rsidP="002806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осуществлялось подмывание и купание пациентов, мытье головы, уход за полостью рта, расчесывание волос, стрижка ногтей, смена нательного и постельного белья.</w:t>
      </w:r>
    </w:p>
    <w:p w:rsidR="00280634" w:rsidRDefault="00280634" w:rsidP="002806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пациенты в связи с тяжелым течением заболевания не могли самос</w:t>
      </w:r>
      <w:r w:rsidR="00BF4911">
        <w:rPr>
          <w:rFonts w:ascii="Times New Roman" w:hAnsi="Times New Roman"/>
          <w:sz w:val="28"/>
          <w:szCs w:val="28"/>
        </w:rPr>
        <w:t>тоятельно питаться, поэтому мы осуществляли</w:t>
      </w:r>
      <w:r>
        <w:rPr>
          <w:rFonts w:ascii="Times New Roman" w:hAnsi="Times New Roman"/>
          <w:sz w:val="28"/>
          <w:szCs w:val="28"/>
        </w:rPr>
        <w:t xml:space="preserve"> кормление пациентов. </w:t>
      </w:r>
    </w:p>
    <w:p w:rsidR="00280634" w:rsidRDefault="00280634" w:rsidP="00280634">
      <w:pPr>
        <w:tabs>
          <w:tab w:val="left" w:pos="9072"/>
        </w:tabs>
        <w:spacing w:after="0" w:line="360" w:lineRule="auto"/>
        <w:ind w:left="-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00650" cy="3505200"/>
            <wp:effectExtent l="19050" t="0" r="0" b="0"/>
            <wp:docPr id="12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80634" w:rsidRDefault="00280634" w:rsidP="00BF49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_Hlk100674799"/>
      <w:r w:rsidRPr="001A6639">
        <w:rPr>
          <w:rFonts w:ascii="Times New Roman" w:hAnsi="Times New Roman" w:cs="Times New Roman"/>
          <w:sz w:val="24"/>
          <w:szCs w:val="24"/>
        </w:rPr>
        <w:t>Рис. 2.</w:t>
      </w:r>
      <w:r>
        <w:rPr>
          <w:rFonts w:ascii="Times New Roman" w:hAnsi="Times New Roman" w:cs="Times New Roman"/>
          <w:sz w:val="24"/>
          <w:szCs w:val="24"/>
        </w:rPr>
        <w:t>12. Гигиенические мероприятия, проводимые медсестрой.</w:t>
      </w:r>
      <w:bookmarkEnd w:id="11"/>
    </w:p>
    <w:p w:rsidR="00280634" w:rsidRDefault="00280634" w:rsidP="002806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F4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виду тяжести состояния и сильной слабости пациентов</w:t>
      </w:r>
      <w:r w:rsidR="00BF4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производилась профилактика пролежней тяжелобольным (</w:t>
      </w:r>
      <w:r w:rsidRPr="00E547FD">
        <w:rPr>
          <w:rFonts w:ascii="Times New Roman" w:hAnsi="Times New Roman"/>
          <w:sz w:val="28"/>
          <w:szCs w:val="28"/>
        </w:rPr>
        <w:t>ежедневно</w:t>
      </w:r>
      <w:r>
        <w:rPr>
          <w:rFonts w:ascii="Times New Roman" w:hAnsi="Times New Roman"/>
          <w:sz w:val="28"/>
          <w:szCs w:val="28"/>
        </w:rPr>
        <w:t xml:space="preserve">е влажное обтирание кожи; смена положения в постели каждые 2 часа; немедленная смена мокрого постельного и нательного белья; замена </w:t>
      </w:r>
      <w:proofErr w:type="spellStart"/>
      <w:r>
        <w:rPr>
          <w:rFonts w:ascii="Times New Roman" w:hAnsi="Times New Roman"/>
          <w:sz w:val="28"/>
          <w:szCs w:val="28"/>
        </w:rPr>
        <w:t>памперсов</w:t>
      </w:r>
      <w:proofErr w:type="spellEnd"/>
      <w:r>
        <w:rPr>
          <w:rFonts w:ascii="Times New Roman" w:hAnsi="Times New Roman"/>
          <w:sz w:val="28"/>
          <w:szCs w:val="28"/>
        </w:rPr>
        <w:t xml:space="preserve"> по необходимости).</w:t>
      </w:r>
    </w:p>
    <w:p w:rsidR="00280634" w:rsidRDefault="00280634" w:rsidP="002806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8DA">
        <w:rPr>
          <w:rFonts w:ascii="Times New Roman" w:hAnsi="Times New Roman"/>
          <w:sz w:val="28"/>
          <w:szCs w:val="28"/>
        </w:rPr>
        <w:t>По назначению врача осуществлялась подготовка и транспортировк</w:t>
      </w:r>
      <w:r>
        <w:rPr>
          <w:rFonts w:ascii="Times New Roman" w:hAnsi="Times New Roman"/>
          <w:sz w:val="28"/>
          <w:szCs w:val="28"/>
        </w:rPr>
        <w:t>а</w:t>
      </w:r>
      <w:r w:rsidRPr="008A78DA">
        <w:rPr>
          <w:rFonts w:ascii="Times New Roman" w:hAnsi="Times New Roman"/>
          <w:sz w:val="28"/>
          <w:szCs w:val="28"/>
        </w:rPr>
        <w:t xml:space="preserve"> пациентов для проведения инструментальных методов диагностики: КТ, рентгенография, УЗИ, ЭКГ, бронхоскопия.</w:t>
      </w:r>
      <w:r w:rsidR="00BF4911">
        <w:rPr>
          <w:rFonts w:ascii="Times New Roman" w:hAnsi="Times New Roman"/>
          <w:sz w:val="28"/>
          <w:szCs w:val="28"/>
        </w:rPr>
        <w:t xml:space="preserve"> </w:t>
      </w:r>
      <w:r w:rsidRPr="008A78DA">
        <w:rPr>
          <w:rFonts w:ascii="Times New Roman" w:hAnsi="Times New Roman"/>
          <w:sz w:val="28"/>
          <w:szCs w:val="28"/>
        </w:rPr>
        <w:t>При подготовке пациента к сдаче анализов</w:t>
      </w:r>
      <w:r>
        <w:rPr>
          <w:rFonts w:ascii="Times New Roman" w:hAnsi="Times New Roman"/>
          <w:sz w:val="28"/>
          <w:szCs w:val="28"/>
        </w:rPr>
        <w:t xml:space="preserve"> ОАМ</w:t>
      </w:r>
      <w:r w:rsidRPr="008A78DA">
        <w:rPr>
          <w:rFonts w:ascii="Times New Roman" w:hAnsi="Times New Roman"/>
          <w:sz w:val="28"/>
          <w:szCs w:val="28"/>
        </w:rPr>
        <w:t xml:space="preserve"> тяжелобольным пациентам </w:t>
      </w:r>
      <w:r>
        <w:rPr>
          <w:rFonts w:ascii="Times New Roman" w:hAnsi="Times New Roman"/>
          <w:sz w:val="28"/>
          <w:szCs w:val="28"/>
        </w:rPr>
        <w:t xml:space="preserve">мною </w:t>
      </w:r>
      <w:r w:rsidRPr="008A78DA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лась</w:t>
      </w:r>
      <w:r w:rsidRPr="008A78DA">
        <w:rPr>
          <w:rFonts w:ascii="Times New Roman" w:hAnsi="Times New Roman"/>
          <w:sz w:val="28"/>
          <w:szCs w:val="28"/>
        </w:rPr>
        <w:t xml:space="preserve"> постановка мочевого катетера,</w:t>
      </w:r>
      <w:r>
        <w:rPr>
          <w:rFonts w:ascii="Times New Roman" w:hAnsi="Times New Roman"/>
          <w:sz w:val="28"/>
          <w:szCs w:val="28"/>
        </w:rPr>
        <w:t xml:space="preserve"> при необходимости,</w:t>
      </w:r>
      <w:r w:rsidRPr="008A78DA">
        <w:rPr>
          <w:rFonts w:ascii="Times New Roman" w:hAnsi="Times New Roman"/>
          <w:sz w:val="28"/>
          <w:szCs w:val="28"/>
        </w:rPr>
        <w:t xml:space="preserve"> гигиенические мероприятия половых </w:t>
      </w:r>
      <w:r w:rsidRPr="008A78DA">
        <w:rPr>
          <w:rFonts w:ascii="Times New Roman" w:hAnsi="Times New Roman"/>
          <w:sz w:val="28"/>
          <w:szCs w:val="28"/>
        </w:rPr>
        <w:lastRenderedPageBreak/>
        <w:t>органов</w:t>
      </w:r>
      <w:r>
        <w:rPr>
          <w:rFonts w:ascii="Times New Roman" w:hAnsi="Times New Roman"/>
          <w:sz w:val="28"/>
          <w:szCs w:val="28"/>
        </w:rPr>
        <w:t xml:space="preserve">, помощь в сборе анализов; </w:t>
      </w:r>
      <w:r w:rsidRPr="006E71E1">
        <w:rPr>
          <w:rFonts w:ascii="Times New Roman" w:hAnsi="Times New Roman"/>
          <w:sz w:val="28"/>
          <w:szCs w:val="28"/>
        </w:rPr>
        <w:t xml:space="preserve">для проведения биохимического исследования крови </w:t>
      </w:r>
      <w:r w:rsidR="00BF4911">
        <w:rPr>
          <w:rFonts w:ascii="Times New Roman" w:hAnsi="Times New Roman"/>
          <w:sz w:val="28"/>
          <w:szCs w:val="28"/>
        </w:rPr>
        <w:t xml:space="preserve">нами </w:t>
      </w:r>
      <w:r w:rsidRPr="006E71E1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ялась</w:t>
      </w:r>
      <w:r w:rsidRPr="006E71E1">
        <w:rPr>
          <w:rFonts w:ascii="Times New Roman" w:hAnsi="Times New Roman"/>
          <w:sz w:val="28"/>
          <w:szCs w:val="28"/>
        </w:rPr>
        <w:t xml:space="preserve"> подготовка к забору крови в соответствии с листом врачебных назначений</w:t>
      </w:r>
      <w:r>
        <w:rPr>
          <w:rFonts w:ascii="Times New Roman" w:hAnsi="Times New Roman"/>
          <w:sz w:val="28"/>
          <w:szCs w:val="28"/>
        </w:rPr>
        <w:t>.</w:t>
      </w:r>
      <w:r w:rsidRPr="007A0C8B">
        <w:rPr>
          <w:rFonts w:ascii="Times New Roman" w:hAnsi="Times New Roman"/>
          <w:sz w:val="28"/>
          <w:szCs w:val="28"/>
        </w:rPr>
        <w:t xml:space="preserve"> Так же всем пациентам о</w:t>
      </w:r>
      <w:r w:rsidRPr="008A78DA">
        <w:rPr>
          <w:rFonts w:ascii="Times New Roman" w:hAnsi="Times New Roman"/>
          <w:sz w:val="28"/>
          <w:szCs w:val="28"/>
        </w:rPr>
        <w:t>существлял</w:t>
      </w:r>
      <w:r w:rsidRPr="007A0C8B">
        <w:rPr>
          <w:rFonts w:ascii="Times New Roman" w:hAnsi="Times New Roman"/>
          <w:sz w:val="28"/>
          <w:szCs w:val="28"/>
        </w:rPr>
        <w:t>с</w:t>
      </w:r>
      <w:r w:rsidRPr="008A78DA">
        <w:rPr>
          <w:rFonts w:ascii="Times New Roman" w:hAnsi="Times New Roman"/>
          <w:sz w:val="28"/>
          <w:szCs w:val="28"/>
        </w:rPr>
        <w:t xml:space="preserve">я </w:t>
      </w:r>
      <w:r w:rsidRPr="007A0C8B">
        <w:rPr>
          <w:rFonts w:ascii="Times New Roman" w:hAnsi="Times New Roman"/>
          <w:sz w:val="28"/>
          <w:szCs w:val="28"/>
        </w:rPr>
        <w:t>з</w:t>
      </w:r>
      <w:r w:rsidRPr="008A78DA">
        <w:rPr>
          <w:rFonts w:ascii="Times New Roman" w:hAnsi="Times New Roman"/>
          <w:sz w:val="28"/>
          <w:szCs w:val="28"/>
        </w:rPr>
        <w:t xml:space="preserve">абор материала для вирусологического исследования и проведение ПЦР диагностики </w:t>
      </w:r>
      <w:r w:rsidRPr="008A78DA">
        <w:rPr>
          <w:rFonts w:ascii="Times New Roman" w:hAnsi="Times New Roman"/>
          <w:sz w:val="28"/>
          <w:szCs w:val="28"/>
          <w:lang w:val="en-US"/>
        </w:rPr>
        <w:t>COVID</w:t>
      </w:r>
      <w:r w:rsidRPr="008A78DA">
        <w:rPr>
          <w:rFonts w:ascii="Times New Roman" w:hAnsi="Times New Roman"/>
          <w:sz w:val="28"/>
          <w:szCs w:val="28"/>
        </w:rPr>
        <w:t>-19</w:t>
      </w:r>
      <w:r w:rsidRPr="007A0C8B">
        <w:rPr>
          <w:rFonts w:ascii="Times New Roman" w:hAnsi="Times New Roman"/>
          <w:sz w:val="28"/>
          <w:szCs w:val="28"/>
        </w:rPr>
        <w:t>, в соответстви</w:t>
      </w:r>
      <w:r w:rsidR="00BF4911">
        <w:rPr>
          <w:rFonts w:ascii="Times New Roman" w:hAnsi="Times New Roman"/>
          <w:sz w:val="28"/>
          <w:szCs w:val="28"/>
        </w:rPr>
        <w:t xml:space="preserve">и с листом врачебных </w:t>
      </w:r>
      <w:proofErr w:type="spellStart"/>
      <w:r w:rsidR="00BF4911">
        <w:rPr>
          <w:rFonts w:ascii="Times New Roman" w:hAnsi="Times New Roman"/>
          <w:sz w:val="28"/>
          <w:szCs w:val="28"/>
        </w:rPr>
        <w:t>назначени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BF4911">
        <w:rPr>
          <w:rFonts w:ascii="Times New Roman" w:hAnsi="Times New Roman"/>
          <w:sz w:val="28"/>
          <w:szCs w:val="28"/>
        </w:rPr>
        <w:t xml:space="preserve"> </w:t>
      </w:r>
      <w:r w:rsidRPr="008A78DA">
        <w:rPr>
          <w:rFonts w:ascii="Times New Roman" w:hAnsi="Times New Roman"/>
          <w:sz w:val="28"/>
          <w:szCs w:val="28"/>
        </w:rPr>
        <w:t>При дисфункции ЖКТ осуществ</w:t>
      </w:r>
      <w:r>
        <w:rPr>
          <w:rFonts w:ascii="Times New Roman" w:hAnsi="Times New Roman"/>
          <w:sz w:val="28"/>
          <w:szCs w:val="28"/>
        </w:rPr>
        <w:t>лялась</w:t>
      </w:r>
      <w:r w:rsidRPr="008A78DA">
        <w:rPr>
          <w:rFonts w:ascii="Times New Roman" w:hAnsi="Times New Roman"/>
          <w:sz w:val="28"/>
          <w:szCs w:val="28"/>
        </w:rPr>
        <w:t xml:space="preserve"> постановка очистительной клизмы.</w:t>
      </w:r>
    </w:p>
    <w:p w:rsidR="00BF4911" w:rsidRDefault="00280634" w:rsidP="00BF491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проведя исследование, нами были сделаны</w:t>
      </w:r>
      <w:r w:rsidR="00BF4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624873">
        <w:rPr>
          <w:rFonts w:ascii="Times New Roman" w:hAnsi="Times New Roman" w:cs="Times New Roman"/>
          <w:b/>
          <w:sz w:val="28"/>
          <w:szCs w:val="28"/>
        </w:rPr>
        <w:t>выводы:</w:t>
      </w:r>
      <w:r w:rsidR="00BF49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0634" w:rsidRPr="00BF4911" w:rsidRDefault="00280634" w:rsidP="00BF491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BCE">
        <w:rPr>
          <w:rFonts w:ascii="Times New Roman" w:hAnsi="Times New Roman" w:cs="Times New Roman"/>
          <w:sz w:val="28"/>
          <w:szCs w:val="28"/>
        </w:rPr>
        <w:t>Половина 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— это</w:t>
      </w:r>
      <w:r w:rsidR="00BF4911">
        <w:rPr>
          <w:rFonts w:ascii="Times New Roman" w:hAnsi="Times New Roman" w:cs="Times New Roman"/>
          <w:sz w:val="28"/>
          <w:szCs w:val="28"/>
        </w:rPr>
        <w:t xml:space="preserve"> </w:t>
      </w:r>
      <w:r w:rsidRPr="00DC6BCE">
        <w:rPr>
          <w:rFonts w:ascii="Times New Roman" w:hAnsi="Times New Roman" w:cs="Times New Roman"/>
          <w:sz w:val="28"/>
          <w:szCs w:val="28"/>
        </w:rPr>
        <w:t xml:space="preserve">пациенты в возрасте </w:t>
      </w:r>
      <w:r w:rsidRPr="00DC6BCE">
        <w:rPr>
          <w:rFonts w:ascii="Times New Roman" w:hAnsi="Times New Roman" w:cs="Times New Roman"/>
          <w:bCs/>
          <w:sz w:val="28"/>
          <w:szCs w:val="28"/>
        </w:rPr>
        <w:t>от 59 лет и выше, что позволяет предположить, что это наиболее уязвимая часть населения, тем более что у многих из них</w:t>
      </w:r>
      <w:r w:rsidRPr="00DC6BCE">
        <w:rPr>
          <w:rFonts w:ascii="Times New Roman" w:hAnsi="Times New Roman"/>
          <w:sz w:val="28"/>
          <w:szCs w:val="28"/>
        </w:rPr>
        <w:t xml:space="preserve">(77%) </w:t>
      </w:r>
      <w:r w:rsidRPr="00DC6BCE">
        <w:rPr>
          <w:rFonts w:ascii="Times New Roman" w:hAnsi="Times New Roman" w:cs="Times New Roman"/>
          <w:bCs/>
          <w:sz w:val="28"/>
          <w:szCs w:val="28"/>
        </w:rPr>
        <w:t>имеются</w:t>
      </w:r>
      <w:r w:rsidR="00BF49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6BCE">
        <w:rPr>
          <w:rFonts w:ascii="Times New Roman" w:hAnsi="Times New Roman"/>
          <w:sz w:val="28"/>
          <w:szCs w:val="28"/>
        </w:rPr>
        <w:t>хронические заболева</w:t>
      </w:r>
      <w:r>
        <w:rPr>
          <w:rFonts w:ascii="Times New Roman" w:hAnsi="Times New Roman"/>
          <w:sz w:val="28"/>
          <w:szCs w:val="28"/>
        </w:rPr>
        <w:t xml:space="preserve">ния, такие как, гипертоническая болезнь </w:t>
      </w:r>
      <w:r w:rsidRPr="00DC6BCE">
        <w:rPr>
          <w:rFonts w:ascii="Times New Roman" w:hAnsi="Times New Roman"/>
          <w:sz w:val="28"/>
          <w:szCs w:val="28"/>
        </w:rPr>
        <w:t xml:space="preserve">у ½ опрошенных, четверть с сахарным диабетом и четверть с заболеваниями дыхательной системы. </w:t>
      </w:r>
      <w:r w:rsidRPr="00F253D7">
        <w:rPr>
          <w:rFonts w:ascii="Times New Roman" w:hAnsi="Times New Roman" w:cs="Times New Roman"/>
          <w:bCs/>
          <w:sz w:val="28"/>
          <w:szCs w:val="28"/>
        </w:rPr>
        <w:t>Пос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кольку в период проведения исследования появились первые вакцины, и вакцинация только стартовала, население относилось к этому настороженно и 2/3 были не привиты, т. к. пациенты не доверяли только, что созданной вакцине и </w:t>
      </w:r>
      <w:r w:rsidRPr="00215D9A">
        <w:rPr>
          <w:rFonts w:ascii="Times New Roman" w:hAnsi="Times New Roman"/>
          <w:sz w:val="28"/>
          <w:szCs w:val="28"/>
        </w:rPr>
        <w:t xml:space="preserve">сомневаются в эффективности </w:t>
      </w:r>
      <w:r>
        <w:rPr>
          <w:rFonts w:ascii="Times New Roman" w:hAnsi="Times New Roman"/>
          <w:sz w:val="28"/>
          <w:szCs w:val="28"/>
        </w:rPr>
        <w:t xml:space="preserve">этой </w:t>
      </w:r>
      <w:r w:rsidRPr="00215D9A">
        <w:rPr>
          <w:rFonts w:ascii="Times New Roman" w:hAnsi="Times New Roman"/>
          <w:sz w:val="28"/>
          <w:szCs w:val="28"/>
        </w:rPr>
        <w:t xml:space="preserve">прививки </w:t>
      </w:r>
      <w:r w:rsidRPr="00624873">
        <w:rPr>
          <w:rFonts w:ascii="Times New Roman" w:hAnsi="Times New Roman"/>
          <w:sz w:val="28"/>
          <w:szCs w:val="28"/>
        </w:rPr>
        <w:t>(81%)</w:t>
      </w:r>
      <w:r w:rsidR="00BF4911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Для трети опрошенных</w:t>
      </w:r>
      <w:r w:rsidR="00BF491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мотивацией к вакцинации послужили </w:t>
      </w:r>
      <w:r w:rsidRPr="00550F68">
        <w:rPr>
          <w:rFonts w:ascii="Times New Roman" w:hAnsi="Times New Roman"/>
          <w:sz w:val="28"/>
          <w:szCs w:val="28"/>
        </w:rPr>
        <w:t xml:space="preserve">требования работодателя </w:t>
      </w:r>
      <w:r>
        <w:rPr>
          <w:rFonts w:ascii="Times New Roman" w:hAnsi="Times New Roman"/>
          <w:sz w:val="28"/>
          <w:szCs w:val="28"/>
        </w:rPr>
        <w:t>(31%), чуть меньше половины респондентов</w:t>
      </w:r>
      <w:r w:rsidR="00BF4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боялись </w:t>
      </w:r>
      <w:r w:rsidRPr="00040D83">
        <w:rPr>
          <w:rFonts w:ascii="Times New Roman" w:hAnsi="Times New Roman"/>
          <w:sz w:val="28"/>
          <w:szCs w:val="28"/>
        </w:rPr>
        <w:t xml:space="preserve">заболеть </w:t>
      </w:r>
      <w:r>
        <w:rPr>
          <w:rFonts w:ascii="Times New Roman" w:hAnsi="Times New Roman"/>
          <w:sz w:val="28"/>
          <w:szCs w:val="28"/>
        </w:rPr>
        <w:t>сами (43%) и  всего пятая часть пациентов привилась так, как решили проявить заботу о своих  близких (18%)</w:t>
      </w:r>
      <w:r w:rsidR="00BF49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Свою роль в развитии осложнений сыграло и то, что большая часть респондентов поступили в стационар с опозданием, треть пациентов </w:t>
      </w:r>
      <w:r w:rsidRPr="00CE4506">
        <w:rPr>
          <w:rFonts w:ascii="Times New Roman" w:hAnsi="Times New Roman" w:cs="Times New Roman"/>
          <w:sz w:val="28"/>
          <w:szCs w:val="28"/>
        </w:rPr>
        <w:t>лечились дома</w:t>
      </w:r>
      <w:r>
        <w:rPr>
          <w:rFonts w:ascii="Times New Roman" w:hAnsi="Times New Roman" w:cs="Times New Roman"/>
          <w:sz w:val="28"/>
          <w:szCs w:val="28"/>
        </w:rPr>
        <w:t xml:space="preserve"> от 4 до</w:t>
      </w:r>
      <w:r w:rsidRPr="00CE4506">
        <w:rPr>
          <w:rFonts w:ascii="Times New Roman" w:hAnsi="Times New Roman" w:cs="Times New Roman"/>
          <w:sz w:val="28"/>
          <w:szCs w:val="28"/>
        </w:rPr>
        <w:t xml:space="preserve">7 дней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(37%), а чуть меньше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половиныопрошенных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035">
        <w:rPr>
          <w:rFonts w:ascii="Times New Roman" w:hAnsi="Times New Roman" w:cs="Times New Roman"/>
          <w:sz w:val="28"/>
          <w:szCs w:val="28"/>
        </w:rPr>
        <w:t>больше недели</w:t>
      </w:r>
      <w:r>
        <w:rPr>
          <w:rFonts w:ascii="Times New Roman" w:hAnsi="Times New Roman" w:cs="Times New Roman"/>
          <w:sz w:val="28"/>
          <w:szCs w:val="28"/>
        </w:rPr>
        <w:t>(45%)</w:t>
      </w:r>
      <w:r w:rsidR="00BF4911">
        <w:rPr>
          <w:rFonts w:ascii="Times New Roman" w:hAnsi="Times New Roman" w:cs="Times New Roman"/>
          <w:sz w:val="28"/>
          <w:szCs w:val="28"/>
        </w:rPr>
        <w:t>.</w:t>
      </w:r>
      <w:r w:rsidR="00BF4911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реть респондентов отмечали, что в их </w:t>
      </w:r>
      <w:r w:rsidRPr="00EB7291">
        <w:rPr>
          <w:rFonts w:ascii="Times New Roman" w:hAnsi="Times New Roman"/>
          <w:sz w:val="28"/>
          <w:szCs w:val="28"/>
        </w:rPr>
        <w:t xml:space="preserve">семье </w:t>
      </w:r>
      <w:r>
        <w:rPr>
          <w:rFonts w:ascii="Times New Roman" w:hAnsi="Times New Roman"/>
          <w:sz w:val="28"/>
          <w:szCs w:val="28"/>
        </w:rPr>
        <w:t>были случаи ковида(30%), а 2/3 опрошенных не знали, где могли заразиться(59%)</w:t>
      </w:r>
      <w:r w:rsidR="00BF49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5217CB">
        <w:rPr>
          <w:rFonts w:ascii="Times New Roman" w:hAnsi="Times New Roman"/>
          <w:sz w:val="28"/>
          <w:szCs w:val="28"/>
        </w:rPr>
        <w:t>олноценно</w:t>
      </w:r>
      <w:r w:rsidR="00BF4911">
        <w:rPr>
          <w:rFonts w:ascii="Times New Roman" w:hAnsi="Times New Roman"/>
          <w:sz w:val="28"/>
          <w:szCs w:val="28"/>
        </w:rPr>
        <w:t xml:space="preserve"> </w:t>
      </w:r>
      <w:r w:rsidRPr="005217CB">
        <w:rPr>
          <w:rFonts w:ascii="Times New Roman" w:hAnsi="Times New Roman"/>
          <w:sz w:val="28"/>
          <w:szCs w:val="28"/>
        </w:rPr>
        <w:t xml:space="preserve">соблюдали рекомендации Роспотребнадзора по профилактике новой коронавирусной инфекции лишь четверть опрошенных (16%), остальные пациенты пренебрегали использованием масок, </w:t>
      </w:r>
      <w:proofErr w:type="spellStart"/>
      <w:r w:rsidRPr="005217CB">
        <w:rPr>
          <w:rFonts w:ascii="Times New Roman" w:hAnsi="Times New Roman"/>
          <w:sz w:val="28"/>
          <w:szCs w:val="28"/>
        </w:rPr>
        <w:t>санитайзеров</w:t>
      </w:r>
      <w:proofErr w:type="spellEnd"/>
      <w:r w:rsidRPr="005217CB">
        <w:rPr>
          <w:rFonts w:ascii="Times New Roman" w:hAnsi="Times New Roman"/>
          <w:sz w:val="28"/>
          <w:szCs w:val="28"/>
        </w:rPr>
        <w:t xml:space="preserve"> и антибактериальных салфеток </w:t>
      </w:r>
      <w:r w:rsidRPr="005217CB">
        <w:rPr>
          <w:rFonts w:ascii="Times New Roman" w:hAnsi="Times New Roman"/>
          <w:sz w:val="28"/>
          <w:szCs w:val="28"/>
        </w:rPr>
        <w:lastRenderedPageBreak/>
        <w:t xml:space="preserve">продолжали посещать места скопления населения, не соблюдали социальную дистанцию, не использовали при уборке жилых помещений </w:t>
      </w:r>
      <w:proofErr w:type="spellStart"/>
      <w:r w:rsidRPr="005217CB">
        <w:rPr>
          <w:rFonts w:ascii="Times New Roman" w:hAnsi="Times New Roman"/>
          <w:sz w:val="28"/>
          <w:szCs w:val="28"/>
        </w:rPr>
        <w:t>дез</w:t>
      </w:r>
      <w:proofErr w:type="spellEnd"/>
      <w:r w:rsidRPr="005217CB">
        <w:rPr>
          <w:rFonts w:ascii="Times New Roman" w:hAnsi="Times New Roman"/>
          <w:sz w:val="28"/>
          <w:szCs w:val="28"/>
        </w:rPr>
        <w:t xml:space="preserve">. средства и не соблюдали режим регулярного проветривания. </w:t>
      </w:r>
      <w:r w:rsidR="00BF4911">
        <w:rPr>
          <w:rFonts w:ascii="Times New Roman" w:hAnsi="Times New Roman"/>
          <w:sz w:val="28"/>
          <w:szCs w:val="28"/>
        </w:rPr>
        <w:t xml:space="preserve"> </w:t>
      </w:r>
      <w:r w:rsidRPr="005217CB">
        <w:rPr>
          <w:rFonts w:ascii="Times New Roman" w:hAnsi="Times New Roman"/>
          <w:sz w:val="28"/>
          <w:szCs w:val="28"/>
        </w:rPr>
        <w:t>Информацию</w:t>
      </w:r>
      <w:r w:rsidR="00BF4911">
        <w:rPr>
          <w:rFonts w:ascii="Times New Roman" w:hAnsi="Times New Roman"/>
          <w:sz w:val="28"/>
          <w:szCs w:val="28"/>
        </w:rPr>
        <w:t xml:space="preserve"> </w:t>
      </w:r>
      <w:r w:rsidRPr="005217CB">
        <w:rPr>
          <w:rFonts w:ascii="Times New Roman" w:hAnsi="Times New Roman"/>
          <w:sz w:val="28"/>
          <w:szCs w:val="28"/>
        </w:rPr>
        <w:t xml:space="preserve">о профилактике коронавирусной инфекции пациенты получали из СМИ (67%) и из </w:t>
      </w:r>
      <w:proofErr w:type="spellStart"/>
      <w:r w:rsidRPr="005217CB"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 w:rsidRPr="005217CB">
        <w:rPr>
          <w:rFonts w:ascii="Times New Roman" w:hAnsi="Times New Roman"/>
          <w:sz w:val="28"/>
          <w:szCs w:val="28"/>
        </w:rPr>
        <w:t>, а медучреждения работали в авральном режиме и не могли уделить в тот момент должное внимание профилактической работе.</w:t>
      </w:r>
    </w:p>
    <w:p w:rsidR="00280634" w:rsidRPr="009C0F1D" w:rsidRDefault="00280634" w:rsidP="00280634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же,</w:t>
      </w:r>
      <w:r w:rsidR="00BF4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можно отметить, что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процессе лечения в стационаре, пациенты нуждались в качественном сестринском уходе, который был представлен как зависимыми, так и независимыми сестринскими вмешательствами. Объем вмешательств определялся тяжестью пациента, был значительным и включал в себя выполнение гигиенических, диагностических и лечебных мероприятий.</w:t>
      </w:r>
    </w:p>
    <w:p w:rsidR="00280634" w:rsidRDefault="00280634" w:rsidP="00280634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Подводя итог всему сказанному, можно </w:t>
      </w:r>
      <w:r w:rsidR="00BF4911">
        <w:rPr>
          <w:rFonts w:ascii="Times New Roman" w:hAnsi="Times New Roman" w:cs="Times New Roman"/>
          <w:bCs/>
          <w:sz w:val="28"/>
          <w:szCs w:val="28"/>
        </w:rPr>
        <w:t xml:space="preserve">заключить, </w:t>
      </w:r>
      <w:r>
        <w:rPr>
          <w:rFonts w:ascii="Times New Roman" w:hAnsi="Times New Roman" w:cs="Times New Roman"/>
          <w:bCs/>
          <w:sz w:val="28"/>
          <w:szCs w:val="28"/>
        </w:rPr>
        <w:t>что эффективно</w:t>
      </w:r>
      <w:r w:rsidRPr="004D6BFC">
        <w:rPr>
          <w:rFonts w:ascii="Times New Roman" w:hAnsi="Times New Roman" w:cs="Times New Roman"/>
          <w:bCs/>
          <w:sz w:val="28"/>
          <w:szCs w:val="28"/>
        </w:rPr>
        <w:t xml:space="preserve"> организованный сестринский уход за пациентами с коронавирусной инфекцией, ускорит лечение и позволит снизит риск развития осложнений</w:t>
      </w:r>
      <w:r>
        <w:rPr>
          <w:rFonts w:ascii="Times New Roman" w:hAnsi="Times New Roman" w:cs="Times New Roman"/>
          <w:bCs/>
          <w:sz w:val="28"/>
          <w:szCs w:val="28"/>
        </w:rPr>
        <w:t>, а своевременно проведенная профилактическая работа поможет снизить заболеваемость среди населения, можно считать достигнутой.</w:t>
      </w:r>
    </w:p>
    <w:p w:rsidR="00280634" w:rsidRDefault="00280634" w:rsidP="0028063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8D7D73" w:rsidRDefault="008D7D73"/>
    <w:sectPr w:rsidR="008D7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60A46"/>
    <w:multiLevelType w:val="hybridMultilevel"/>
    <w:tmpl w:val="9D86844C"/>
    <w:lvl w:ilvl="0" w:tplc="D9A890F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B16D4"/>
    <w:multiLevelType w:val="hybridMultilevel"/>
    <w:tmpl w:val="CBC0FFDC"/>
    <w:lvl w:ilvl="0" w:tplc="D9A890F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80634"/>
    <w:rsid w:val="00280634"/>
    <w:rsid w:val="008D7D73"/>
    <w:rsid w:val="00BF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634"/>
    <w:pPr>
      <w:spacing w:after="160" w:line="259" w:lineRule="auto"/>
      <w:ind w:left="720"/>
      <w:contextualSpacing/>
    </w:pPr>
    <w:rPr>
      <w:rFonts w:eastAsia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8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rAngAx val="1"/>
    </c:view3D>
    <c:floor>
      <c:spPr>
        <a:noFill/>
        <a:ln w="6350"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spPr>
              <a:noFill/>
              <a:ln w="2537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98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пациенты от 18 до 29 лет </c:v>
                </c:pt>
                <c:pt idx="1">
                  <c:v>пациенты от 30 до 59 лет</c:v>
                </c:pt>
                <c:pt idx="2">
                  <c:v>пациенты от 59 лет и выше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0.17</c:v>
                </c:pt>
                <c:pt idx="1">
                  <c:v>0.32000000000000012</c:v>
                </c:pt>
                <c:pt idx="2">
                  <c:v>0.51</c:v>
                </c:pt>
              </c:numCache>
            </c:numRef>
          </c:val>
        </c:ser>
        <c:shape val="box"/>
        <c:axId val="96392320"/>
        <c:axId val="96711040"/>
        <c:axId val="0"/>
      </c:bar3DChart>
      <c:catAx>
        <c:axId val="96392320"/>
        <c:scaling>
          <c:orientation val="minMax"/>
        </c:scaling>
        <c:axPos val="b"/>
        <c:numFmt formatCode="General" sourceLinked="1"/>
        <c:majorTickMark val="none"/>
        <c:tickLblPos val="nextTo"/>
        <c:spPr>
          <a:ln w="634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99" b="0" i="0" u="none" strike="noStrike" kern="1200" baseline="0">
                <a:solidFill>
                  <a:schemeClr val="bg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6711040"/>
        <c:crosses val="autoZero"/>
        <c:auto val="1"/>
        <c:lblAlgn val="ctr"/>
        <c:lblOffset val="100"/>
      </c:catAx>
      <c:valAx>
        <c:axId val="96711040"/>
        <c:scaling>
          <c:orientation val="minMax"/>
        </c:scaling>
        <c:axPos val="l"/>
        <c:majorGridlines>
          <c:spPr>
            <a:ln w="9514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ln w="634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392320"/>
        <c:crosses val="autoZero"/>
        <c:crossBetween val="between"/>
      </c:valAx>
      <c:spPr>
        <a:noFill/>
        <a:ln w="25371">
          <a:noFill/>
        </a:ln>
      </c:spPr>
    </c:plotArea>
    <c:plotVisOnly val="1"/>
    <c:dispBlanksAs val="zero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rAngAx val="1"/>
    </c:view3D>
    <c:floor>
      <c:spPr>
        <a:noFill/>
        <a:ln w="6350"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8780758706772596E-2"/>
          <c:y val="6.6769388803287102E-2"/>
          <c:w val="0.93121924129322742"/>
          <c:h val="0.53836348268484935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spPr>
              <a:noFill/>
              <a:ln w="2539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СМИ</c:v>
                </c:pt>
                <c:pt idx="1">
                  <c:v>интернет-ресурсы</c:v>
                </c:pt>
                <c:pt idx="2">
                  <c:v>на местах работы</c:v>
                </c:pt>
                <c:pt idx="3">
                  <c:v>в поликлиниках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0.67000000000000026</c:v>
                </c:pt>
                <c:pt idx="1">
                  <c:v>0.15000000000000005</c:v>
                </c:pt>
                <c:pt idx="2">
                  <c:v>0.1</c:v>
                </c:pt>
                <c:pt idx="3">
                  <c:v>8.0000000000000029E-2</c:v>
                </c:pt>
              </c:numCache>
            </c:numRef>
          </c:val>
        </c:ser>
        <c:shape val="box"/>
        <c:axId val="96358784"/>
        <c:axId val="96360320"/>
        <c:axId val="0"/>
      </c:bar3DChart>
      <c:catAx>
        <c:axId val="96358784"/>
        <c:scaling>
          <c:orientation val="minMax"/>
        </c:scaling>
        <c:axPos val="b"/>
        <c:numFmt formatCode="General" sourceLinked="1"/>
        <c:majorTickMark val="none"/>
        <c:tickLblPos val="nextTo"/>
        <c:spPr>
          <a:ln w="6349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bg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6360320"/>
        <c:crosses val="autoZero"/>
        <c:auto val="1"/>
        <c:lblAlgn val="ctr"/>
        <c:lblOffset val="100"/>
      </c:catAx>
      <c:valAx>
        <c:axId val="96360320"/>
        <c:scaling>
          <c:orientation val="minMax"/>
        </c:scaling>
        <c:axPos val="l"/>
        <c:majorGridlines>
          <c:spPr>
            <a:ln w="9524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ln w="6349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358784"/>
        <c:crosses val="autoZero"/>
        <c:crossBetween val="between"/>
      </c:valAx>
      <c:spPr>
        <a:noFill/>
        <a:ln w="25397">
          <a:noFill/>
        </a:ln>
      </c:spPr>
    </c:plotArea>
    <c:plotVisOnly val="1"/>
    <c:dispBlanksAs val="zero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floor>
      <c:spPr>
        <a:noFill/>
        <a:ln w="6350"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5281423155439014E-2"/>
          <c:y val="2.2496132264991801E-2"/>
          <c:w val="0.53023587737807543"/>
          <c:h val="0.86319563427005863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проведение оксигенотерапии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среднетяжелая степень</c:v>
                </c:pt>
                <c:pt idx="1">
                  <c:v>тяжелая степень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осуществление ингаляций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среднетяжелая степень</c:v>
                </c:pt>
                <c:pt idx="1">
                  <c:v>тяжелая степень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0.70000000000000018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обучение правильному положению в постели 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среднетяжелая степень</c:v>
                </c:pt>
                <c:pt idx="1">
                  <c:v>тяжелая степень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hape val="box"/>
        <c:axId val="83727104"/>
        <c:axId val="83728640"/>
        <c:axId val="97109760"/>
      </c:bar3DChart>
      <c:catAx>
        <c:axId val="83727104"/>
        <c:scaling>
          <c:orientation val="minMax"/>
        </c:scaling>
        <c:axPos val="b"/>
        <c:numFmt formatCode="General" sourceLinked="1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3728640"/>
        <c:crosses val="autoZero"/>
        <c:auto val="1"/>
        <c:lblAlgn val="ctr"/>
        <c:lblOffset val="100"/>
      </c:catAx>
      <c:valAx>
        <c:axId val="837286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727104"/>
        <c:crosses val="autoZero"/>
        <c:crossBetween val="between"/>
      </c:valAx>
      <c:serAx>
        <c:axId val="97109760"/>
        <c:scaling>
          <c:orientation val="minMax"/>
        </c:scaling>
        <c:axPos val="b"/>
        <c:numFmt formatCode="General" sourceLinked="1"/>
        <c:maj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C0C0C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3728640"/>
        <c:crosses val="autoZero"/>
        <c:tickLblSkip val="2"/>
        <c:tickMarkSkip val="1"/>
      </c:serAx>
      <c:spPr>
        <a:noFill/>
        <a:ln w="25399">
          <a:noFill/>
        </a:ln>
      </c:spPr>
    </c:plotArea>
    <c:plotVisOnly val="1"/>
    <c:dispBlanksAs val="zero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floor>
      <c:spPr>
        <a:noFill/>
        <a:ln w="6350"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6277838687885433E-2"/>
          <c:y val="1.5492727360200159E-2"/>
          <c:w val="0.69374072966617695"/>
          <c:h val="0.79704776902887164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кормление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dLbl>
              <c:idx val="0"/>
              <c:layout>
                <c:manualLayout>
                  <c:x val="3.7505860290670181E-3"/>
                  <c:y val="5.8608058608058462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6.2271062271062036E-2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тяжелая</c:v>
                </c:pt>
                <c:pt idx="1">
                  <c:v>среднетяжелая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умывание не менее 2х раз/сутки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dLbl>
              <c:idx val="0"/>
              <c:layout>
                <c:manualLayout>
                  <c:x val="1.1251758087201061E-2"/>
                  <c:y val="2.9304029304029238E-2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тяжелая</c:v>
                </c:pt>
                <c:pt idx="1">
                  <c:v>среднетяжелая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1</c:v>
                </c:pt>
                <c:pt idx="1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мытье головы 1 р /неделю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dLbl>
              <c:idx val="1"/>
              <c:layout>
                <c:manualLayout>
                  <c:x val="2.2503516174402251E-2"/>
                  <c:y val="3.0476190476190539E-2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тяжелая</c:v>
                </c:pt>
                <c:pt idx="1">
                  <c:v>среднетяжелая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1</c:v>
                </c:pt>
                <c:pt idx="1">
                  <c:v>0.3000000000000001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замена постельного белья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тяжелая</c:v>
                </c:pt>
                <c:pt idx="1">
                  <c:v>среднетяжелая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расчесывание волос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тяжелая</c:v>
                </c:pt>
                <c:pt idx="1">
                  <c:v>среднетяжелая</c:v>
                </c:pt>
              </c:strCache>
            </c:strRef>
          </c:cat>
          <c:val>
            <c:numRef>
              <c:f>Лист1!$F$2:$F$3</c:f>
              <c:numCache>
                <c:formatCode>0%</c:formatCode>
                <c:ptCount val="2"/>
                <c:pt idx="0">
                  <c:v>1</c:v>
                </c:pt>
                <c:pt idx="1">
                  <c:v>0.3000000000000001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стрижка ногтей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dLbl>
              <c:idx val="1"/>
              <c:layout>
                <c:manualLayout>
                  <c:x val="1.3127051101734647E-2"/>
                  <c:y val="1.3577732518669382E-2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тяжелая</c:v>
                </c:pt>
                <c:pt idx="1">
                  <c:v>среднетяжелая</c:v>
                </c:pt>
              </c:strCache>
            </c:strRef>
          </c:cat>
          <c:val>
            <c:numRef>
              <c:f>Лист1!$G$2:$G$3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уход за полостью рта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тяжелая</c:v>
                </c:pt>
                <c:pt idx="1">
                  <c:v>среднетяжелая</c:v>
                </c:pt>
              </c:strCache>
            </c:strRef>
          </c:cat>
          <c:val>
            <c:numRef>
              <c:f>Лист1!$H$2:$H$3</c:f>
              <c:numCache>
                <c:formatCode>0%</c:formatCode>
                <c:ptCount val="2"/>
                <c:pt idx="0">
                  <c:v>1</c:v>
                </c:pt>
                <c:pt idx="1">
                  <c:v>0.3000000000000001</c:v>
                </c:pt>
              </c:numCache>
            </c:numRef>
          </c:val>
        </c:ser>
        <c:shape val="box"/>
        <c:axId val="82975744"/>
        <c:axId val="82993920"/>
        <c:axId val="99398976"/>
      </c:bar3DChart>
      <c:catAx>
        <c:axId val="82975744"/>
        <c:scaling>
          <c:orientation val="minMax"/>
        </c:scaling>
        <c:axPos val="b"/>
        <c:numFmt formatCode="General" sourceLinked="1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2993920"/>
        <c:crosses val="autoZero"/>
        <c:auto val="1"/>
        <c:lblAlgn val="ctr"/>
        <c:lblOffset val="100"/>
      </c:catAx>
      <c:valAx>
        <c:axId val="829939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975744"/>
        <c:crosses val="autoZero"/>
        <c:crossBetween val="between"/>
      </c:valAx>
      <c:serAx>
        <c:axId val="99398976"/>
        <c:scaling>
          <c:orientation val="minMax"/>
        </c:scaling>
        <c:axPos val="b"/>
        <c:numFmt formatCode="General" sourceLinked="1"/>
        <c:maj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C0C0C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2993920"/>
        <c:crosses val="autoZero"/>
        <c:tickLblSkip val="2"/>
        <c:tickMarkSkip val="1"/>
      </c:serAx>
      <c:spPr>
        <a:noFill/>
        <a:ln w="25399">
          <a:noFill/>
        </a:ln>
      </c:spPr>
    </c:plotArea>
    <c:plotVisOnly val="1"/>
    <c:dispBlanksAs val="zero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rAngAx val="1"/>
    </c:view3D>
    <c:floor>
      <c:spPr>
        <a:noFill/>
        <a:ln w="6350"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болели 1-2 раза/в год</c:v>
                </c:pt>
                <c:pt idx="1">
                  <c:v>болели 3-4 раза/в год</c:v>
                </c:pt>
                <c:pt idx="2">
                  <c:v>болели  5 и более раз/ в год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0.39000000000000012</c:v>
                </c:pt>
                <c:pt idx="2">
                  <c:v>0.21000000000000005</c:v>
                </c:pt>
              </c:numCache>
            </c:numRef>
          </c:val>
        </c:ser>
        <c:shape val="box"/>
        <c:axId val="97134080"/>
        <c:axId val="97172864"/>
        <c:axId val="0"/>
      </c:bar3DChart>
      <c:catAx>
        <c:axId val="97134080"/>
        <c:scaling>
          <c:orientation val="minMax"/>
        </c:scaling>
        <c:axPos val="b"/>
        <c:numFmt formatCode="General" sourceLinked="1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bg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172864"/>
        <c:crosses val="autoZero"/>
        <c:auto val="1"/>
        <c:lblAlgn val="ctr"/>
        <c:lblOffset val="100"/>
      </c:catAx>
      <c:valAx>
        <c:axId val="971728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1340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zero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rAngAx val="1"/>
    </c:view3D>
    <c:floor>
      <c:spPr>
        <a:noFill/>
        <a:ln w="6350"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не прививались</c:v>
                </c:pt>
                <c:pt idx="1">
                  <c:v>прививались, в течение 6 месяцев</c:v>
                </c:pt>
                <c:pt idx="2">
                  <c:v>прививались, более 6 месяцев назад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0.63000000000000023</c:v>
                </c:pt>
                <c:pt idx="1">
                  <c:v>0.19</c:v>
                </c:pt>
                <c:pt idx="2">
                  <c:v>0.18000000000000005</c:v>
                </c:pt>
              </c:numCache>
            </c:numRef>
          </c:val>
        </c:ser>
        <c:shape val="box"/>
        <c:axId val="74192384"/>
        <c:axId val="74193920"/>
        <c:axId val="0"/>
      </c:bar3DChart>
      <c:catAx>
        <c:axId val="74192384"/>
        <c:scaling>
          <c:orientation val="minMax"/>
        </c:scaling>
        <c:axPos val="b"/>
        <c:numFmt formatCode="General" sourceLinked="1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bg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4193920"/>
        <c:crosses val="autoZero"/>
        <c:auto val="1"/>
        <c:lblAlgn val="ctr"/>
        <c:lblOffset val="100"/>
      </c:catAx>
      <c:valAx>
        <c:axId val="741939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1923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zero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rAngAx val="1"/>
    </c:view3D>
    <c:floor>
      <c:spPr>
        <a:noFill/>
        <a:ln w="6350"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забота о близких</c:v>
                </c:pt>
                <c:pt idx="1">
                  <c:v>требования работодателя</c:v>
                </c:pt>
                <c:pt idx="2">
                  <c:v>ограничения по посещаемости</c:v>
                </c:pt>
                <c:pt idx="3">
                  <c:v>боязнь заболеть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0.18000000000000005</c:v>
                </c:pt>
                <c:pt idx="1">
                  <c:v>0.31000000000000011</c:v>
                </c:pt>
                <c:pt idx="2">
                  <c:v>8.0000000000000029E-2</c:v>
                </c:pt>
                <c:pt idx="3">
                  <c:v>0.4300000000000001</c:v>
                </c:pt>
              </c:numCache>
            </c:numRef>
          </c:val>
        </c:ser>
        <c:shape val="box"/>
        <c:axId val="74124672"/>
        <c:axId val="74253440"/>
        <c:axId val="0"/>
      </c:bar3DChart>
      <c:catAx>
        <c:axId val="74124672"/>
        <c:scaling>
          <c:orientation val="minMax"/>
        </c:scaling>
        <c:axPos val="b"/>
        <c:numFmt formatCode="General" sourceLinked="1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bg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4253440"/>
        <c:crosses val="autoZero"/>
        <c:auto val="1"/>
        <c:lblAlgn val="ctr"/>
        <c:lblOffset val="100"/>
      </c:catAx>
      <c:valAx>
        <c:axId val="742534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124672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zero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rAngAx val="1"/>
    </c:view3D>
    <c:floor>
      <c:spPr>
        <a:noFill/>
        <a:ln w="6350"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spPr>
              <a:noFill/>
              <a:ln w="2537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98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имеют антитела</c:v>
                </c:pt>
                <c:pt idx="1">
                  <c:v>боятся побочных эффектов</c:v>
                </c:pt>
                <c:pt idx="2">
                  <c:v>сомневаются в эффективности прививки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8.0000000000000029E-2</c:v>
                </c:pt>
                <c:pt idx="1">
                  <c:v>0.11</c:v>
                </c:pt>
                <c:pt idx="2">
                  <c:v>0.81</c:v>
                </c:pt>
              </c:numCache>
            </c:numRef>
          </c:val>
        </c:ser>
        <c:shape val="box"/>
        <c:axId val="74311168"/>
        <c:axId val="74312704"/>
        <c:axId val="0"/>
      </c:bar3DChart>
      <c:catAx>
        <c:axId val="74311168"/>
        <c:scaling>
          <c:orientation val="minMax"/>
        </c:scaling>
        <c:axPos val="b"/>
        <c:numFmt formatCode="General" sourceLinked="1"/>
        <c:majorTickMark val="none"/>
        <c:tickLblPos val="nextTo"/>
        <c:spPr>
          <a:ln w="634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99" b="0" i="0" u="none" strike="noStrike" kern="1200" baseline="0">
                <a:solidFill>
                  <a:schemeClr val="bg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4312704"/>
        <c:crosses val="autoZero"/>
        <c:auto val="1"/>
        <c:lblAlgn val="ctr"/>
        <c:lblOffset val="100"/>
      </c:catAx>
      <c:valAx>
        <c:axId val="74312704"/>
        <c:scaling>
          <c:orientation val="minMax"/>
        </c:scaling>
        <c:axPos val="l"/>
        <c:majorGridlines>
          <c:spPr>
            <a:ln w="9514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ln w="634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311168"/>
        <c:crosses val="autoZero"/>
        <c:crossBetween val="between"/>
      </c:valAx>
      <c:spPr>
        <a:noFill/>
        <a:ln w="25371">
          <a:noFill/>
        </a:ln>
      </c:spPr>
    </c:plotArea>
    <c:plotVisOnly val="1"/>
    <c:dispBlanksAs val="zero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rAngAx val="1"/>
    </c:view3D>
    <c:floor>
      <c:spPr>
        <a:noFill/>
        <a:ln w="6350"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spPr>
              <a:noFill/>
              <a:ln w="2539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до 3х дней</c:v>
                </c:pt>
                <c:pt idx="1">
                  <c:v>4-7 дней</c:v>
                </c:pt>
                <c:pt idx="2">
                  <c:v>больше недели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0.18000000000000005</c:v>
                </c:pt>
                <c:pt idx="1">
                  <c:v>0.37000000000000011</c:v>
                </c:pt>
                <c:pt idx="2">
                  <c:v>0.45</c:v>
                </c:pt>
              </c:numCache>
            </c:numRef>
          </c:val>
        </c:ser>
        <c:shape val="box"/>
        <c:axId val="74227072"/>
        <c:axId val="80274560"/>
        <c:axId val="0"/>
      </c:bar3DChart>
      <c:catAx>
        <c:axId val="74227072"/>
        <c:scaling>
          <c:orientation val="minMax"/>
        </c:scaling>
        <c:axPos val="b"/>
        <c:numFmt formatCode="General" sourceLinked="1"/>
        <c:majorTickMark val="none"/>
        <c:tickLblPos val="nextTo"/>
        <c:spPr>
          <a:ln w="6349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bg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0274560"/>
        <c:crosses val="autoZero"/>
        <c:auto val="1"/>
        <c:lblAlgn val="ctr"/>
        <c:lblOffset val="100"/>
      </c:catAx>
      <c:valAx>
        <c:axId val="80274560"/>
        <c:scaling>
          <c:orientation val="minMax"/>
        </c:scaling>
        <c:axPos val="l"/>
        <c:majorGridlines>
          <c:spPr>
            <a:ln w="9524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ln w="6349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227072"/>
        <c:crosses val="autoZero"/>
        <c:crossBetween val="between"/>
      </c:valAx>
      <c:spPr>
        <a:noFill/>
        <a:ln w="25398">
          <a:noFill/>
        </a:ln>
      </c:spPr>
    </c:plotArea>
    <c:plotVisOnly val="1"/>
    <c:dispBlanksAs val="zero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rAngAx val="1"/>
    </c:view3D>
    <c:floor>
      <c:spPr>
        <a:noFill/>
        <a:ln w="6350"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spPr>
              <a:noFill/>
              <a:ln w="2539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были случаи в семье</c:v>
                </c:pt>
                <c:pt idx="1">
                  <c:v>нет</c:v>
                </c:pt>
                <c:pt idx="2">
                  <c:v>неизвестно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0.3000000000000001</c:v>
                </c:pt>
                <c:pt idx="1">
                  <c:v>0.11</c:v>
                </c:pt>
                <c:pt idx="2">
                  <c:v>0.59</c:v>
                </c:pt>
              </c:numCache>
            </c:numRef>
          </c:val>
        </c:ser>
        <c:shape val="box"/>
        <c:axId val="82195968"/>
        <c:axId val="82197504"/>
        <c:axId val="0"/>
      </c:bar3DChart>
      <c:catAx>
        <c:axId val="82195968"/>
        <c:scaling>
          <c:orientation val="minMax"/>
        </c:scaling>
        <c:axPos val="b"/>
        <c:numFmt formatCode="General" sourceLinked="1"/>
        <c:majorTickMark val="none"/>
        <c:tickLblPos val="nextTo"/>
        <c:spPr>
          <a:ln w="6349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bg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2197504"/>
        <c:crosses val="autoZero"/>
        <c:auto val="1"/>
        <c:lblAlgn val="ctr"/>
        <c:lblOffset val="100"/>
      </c:catAx>
      <c:valAx>
        <c:axId val="82197504"/>
        <c:scaling>
          <c:orientation val="minMax"/>
        </c:scaling>
        <c:axPos val="l"/>
        <c:majorGridlines>
          <c:spPr>
            <a:ln w="9524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ln w="6349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195968"/>
        <c:crosses val="autoZero"/>
        <c:crossBetween val="between"/>
      </c:valAx>
      <c:spPr>
        <a:noFill/>
        <a:ln w="25398">
          <a:noFill/>
        </a:ln>
      </c:spPr>
    </c:plotArea>
    <c:plotVisOnly val="1"/>
    <c:dispBlanksAs val="zero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floor>
      <c:spPr>
        <a:noFill/>
        <a:ln w="6350"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75854186191131E-2"/>
          <c:y val="1.680697578041428E-2"/>
          <c:w val="0.94241458138088652"/>
          <c:h val="0.83343782226120144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полноценно соблюдали рекомендации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spPr>
              <a:noFill/>
              <a:ln w="2537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99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пренебрегали использованием масок,санитайзеров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spPr>
              <a:noFill/>
              <a:ln w="2537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99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0.12000000000000002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соблюдали социальную дистанцию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spPr>
              <a:noFill/>
              <a:ln w="2537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99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0.18000000000000005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использовали дезсредства при уборке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spPr>
              <a:noFill/>
              <a:ln w="2537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99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0.4300000000000001</c:v>
                </c:pt>
              </c:numCache>
            </c:numRef>
          </c:val>
        </c:ser>
        <c:shape val="box"/>
        <c:axId val="82242560"/>
        <c:axId val="82264832"/>
        <c:axId val="97075200"/>
      </c:bar3DChart>
      <c:catAx>
        <c:axId val="82242560"/>
        <c:scaling>
          <c:orientation val="minMax"/>
        </c:scaling>
        <c:delete val="1"/>
        <c:axPos val="b"/>
        <c:tickLblPos val="nextTo"/>
        <c:crossAx val="82264832"/>
        <c:crosses val="autoZero"/>
        <c:auto val="1"/>
        <c:lblAlgn val="ctr"/>
        <c:lblOffset val="100"/>
      </c:catAx>
      <c:valAx>
        <c:axId val="82264832"/>
        <c:scaling>
          <c:orientation val="minMax"/>
        </c:scaling>
        <c:axPos val="l"/>
        <c:majorGridlines>
          <c:spPr>
            <a:ln w="951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ln w="634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242560"/>
        <c:crosses val="autoZero"/>
        <c:crossBetween val="between"/>
      </c:valAx>
      <c:serAx>
        <c:axId val="97075200"/>
        <c:scaling>
          <c:orientation val="minMax"/>
        </c:scaling>
        <c:axPos val="b"/>
        <c:numFmt formatCode="General" sourceLinked="1"/>
        <c:tickLblPos val="nextTo"/>
        <c:spPr>
          <a:ln w="6343">
            <a:noFill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FFFFFF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2264832"/>
        <c:crosses val="autoZero"/>
        <c:tickLblSkip val="3"/>
        <c:tickMarkSkip val="1"/>
      </c:serAx>
      <c:spPr>
        <a:noFill/>
        <a:ln w="25372">
          <a:noFill/>
        </a:ln>
      </c:spPr>
    </c:plotArea>
    <c:plotVisOnly val="1"/>
    <c:dispBlanksAs val="zero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 algn="ctr">
        <a:defRPr/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rAngAx val="1"/>
    </c:view3D>
    <c:floor>
      <c:spPr>
        <a:noFill/>
        <a:ln w="6350"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гипертоническая болезнь</c:v>
                </c:pt>
                <c:pt idx="1">
                  <c:v>сахарный диабет</c:v>
                </c:pt>
                <c:pt idx="2">
                  <c:v>заболевания дыхательной системы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0.52</c:v>
                </c:pt>
                <c:pt idx="1">
                  <c:v>0.25</c:v>
                </c:pt>
                <c:pt idx="2">
                  <c:v>0.23</c:v>
                </c:pt>
              </c:numCache>
            </c:numRef>
          </c:val>
        </c:ser>
        <c:shape val="box"/>
        <c:axId val="82348288"/>
        <c:axId val="82350080"/>
        <c:axId val="0"/>
      </c:bar3DChart>
      <c:catAx>
        <c:axId val="82348288"/>
        <c:scaling>
          <c:orientation val="minMax"/>
        </c:scaling>
        <c:axPos val="b"/>
        <c:numFmt formatCode="General" sourceLinked="1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bg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2350080"/>
        <c:crosses val="autoZero"/>
        <c:auto val="1"/>
        <c:lblAlgn val="ctr"/>
        <c:lblOffset val="100"/>
      </c:catAx>
      <c:valAx>
        <c:axId val="823500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348288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zero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Izolda</dc:creator>
  <cp:keywords/>
  <dc:description/>
  <cp:lastModifiedBy>Izolda</cp:lastModifiedBy>
  <cp:revision>2</cp:revision>
  <dcterms:created xsi:type="dcterms:W3CDTF">2024-02-29T19:30:00Z</dcterms:created>
  <dcterms:modified xsi:type="dcterms:W3CDTF">2024-02-29T19:49:00Z</dcterms:modified>
</cp:coreProperties>
</file>