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№15</w:t>
      </w:r>
    </w:p>
    <w:p w14:paraId="02000000">
      <w:pPr>
        <w:rPr>
          <w:rFonts w:ascii="Calibri" w:hAnsi="Calibri"/>
        </w:rPr>
      </w:pPr>
    </w:p>
    <w:p w14:paraId="03000000">
      <w:pPr>
        <w:rPr>
          <w:rFonts w:ascii="Calibri" w:hAnsi="Calibri"/>
        </w:rPr>
      </w:pPr>
    </w:p>
    <w:p w14:paraId="04000000">
      <w:pPr>
        <w:rPr>
          <w:rFonts w:ascii="Calibri" w:hAnsi="Calibri"/>
        </w:rPr>
      </w:pPr>
    </w:p>
    <w:p w14:paraId="05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6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7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8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9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A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B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C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D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E000000">
      <w:pPr>
        <w:tabs>
          <w:tab w:leader="none" w:pos="7048" w:val="left"/>
          <w:tab w:leader="none" w:pos="7386" w:val="left"/>
          <w:tab w:leader="none" w:pos="9355" w:val="right"/>
        </w:tabs>
        <w:ind/>
        <w:rPr>
          <w:rFonts w:ascii="Calibri" w:hAnsi="Calibri"/>
        </w:rPr>
      </w:pPr>
    </w:p>
    <w:p w14:paraId="0F000000">
      <w:pPr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Программа саморазвития педагога</w:t>
      </w:r>
    </w:p>
    <w:p w14:paraId="10000000">
      <w:pPr>
        <w:ind/>
        <w:jc w:val="center"/>
        <w:rPr>
          <w:rFonts w:ascii="XO Thames" w:hAnsi="XO Thames"/>
          <w:b w:val="1"/>
          <w:sz w:val="32"/>
        </w:rPr>
      </w:pPr>
    </w:p>
    <w:p w14:paraId="11000000">
      <w:pPr>
        <w:ind/>
        <w:jc w:val="center"/>
        <w:rPr>
          <w:rFonts w:ascii="XO Thames" w:hAnsi="XO Thames"/>
          <w:b w:val="1"/>
          <w:sz w:val="32"/>
        </w:rPr>
      </w:pPr>
    </w:p>
    <w:p w14:paraId="12000000">
      <w:pPr>
        <w:rPr>
          <w:rFonts w:ascii="Calibri" w:hAnsi="Calibri"/>
        </w:rPr>
      </w:pPr>
    </w:p>
    <w:p w14:paraId="13000000">
      <w:pPr>
        <w:ind/>
        <w:jc w:val="center"/>
        <w:rPr>
          <w:rFonts w:ascii="XO Thames" w:hAnsi="XO Thames"/>
          <w:color w:val="000000"/>
          <w:sz w:val="32"/>
        </w:rPr>
      </w:pPr>
      <w:r>
        <w:rPr>
          <w:rFonts w:ascii="XO Thames" w:hAnsi="XO Thames"/>
          <w:sz w:val="32"/>
        </w:rPr>
        <w:t>«</w:t>
      </w:r>
      <w:r>
        <w:rPr>
          <w:rFonts w:ascii="XO Thames" w:hAnsi="XO Thames"/>
          <w:sz w:val="32"/>
        </w:rPr>
        <w:t>Сенсорное развитие детей раннего возраста</w:t>
      </w:r>
      <w:r>
        <w:rPr>
          <w:rFonts w:ascii="XO Thames" w:hAnsi="XO Thames"/>
          <w:sz w:val="32"/>
        </w:rPr>
        <w:t xml:space="preserve">». </w:t>
      </w:r>
    </w:p>
    <w:p w14:paraId="14000000">
      <w:pPr>
        <w:rPr>
          <w:rFonts w:ascii="Calibri" w:hAnsi="Calibri"/>
        </w:rPr>
      </w:pPr>
    </w:p>
    <w:p w14:paraId="15000000">
      <w:pPr>
        <w:rPr>
          <w:rFonts w:ascii="Calibri" w:hAnsi="Calibri"/>
        </w:rPr>
      </w:pPr>
    </w:p>
    <w:p w14:paraId="16000000">
      <w:pPr>
        <w:ind w:firstLine="0" w:left="709"/>
        <w:jc w:val="right"/>
        <w:rPr>
          <w:rFonts w:ascii="Times New Roman" w:hAnsi="Times New Roman"/>
          <w:sz w:val="28"/>
        </w:rPr>
      </w:pPr>
    </w:p>
    <w:p w14:paraId="17000000">
      <w:pPr>
        <w:ind w:firstLine="0" w:left="709"/>
        <w:jc w:val="right"/>
        <w:rPr>
          <w:rFonts w:ascii="Times New Roman" w:hAnsi="Times New Roman"/>
          <w:sz w:val="28"/>
        </w:rPr>
      </w:pPr>
    </w:p>
    <w:p w14:paraId="18000000">
      <w:pPr>
        <w:ind w:firstLine="0" w:left="709"/>
        <w:jc w:val="right"/>
        <w:rPr>
          <w:rFonts w:ascii="Times New Roman" w:hAnsi="Times New Roman"/>
          <w:sz w:val="28"/>
        </w:rPr>
      </w:pPr>
    </w:p>
    <w:p w14:paraId="19000000">
      <w:pPr>
        <w:ind w:firstLine="0" w:left="709"/>
        <w:jc w:val="right"/>
        <w:rPr>
          <w:rFonts w:ascii="Times New Roman" w:hAnsi="Times New Roman"/>
          <w:sz w:val="28"/>
        </w:rPr>
      </w:pPr>
    </w:p>
    <w:p w14:paraId="1A000000">
      <w:pPr>
        <w:ind w:firstLine="0" w:left="709"/>
        <w:jc w:val="right"/>
        <w:rPr>
          <w:rFonts w:ascii="Times New Roman" w:hAnsi="Times New Roman"/>
          <w:sz w:val="28"/>
        </w:rPr>
      </w:pPr>
    </w:p>
    <w:p w14:paraId="1B000000">
      <w:pPr>
        <w:ind w:firstLine="0" w:left="709"/>
        <w:jc w:val="right"/>
        <w:rPr>
          <w:rFonts w:ascii="Times New Roman" w:hAnsi="Times New Roman"/>
          <w:sz w:val="28"/>
        </w:rPr>
      </w:pP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</w:p>
    <w:p w14:paraId="2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</w:t>
      </w:r>
    </w:p>
    <w:p w14:paraId="25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Архипкина Ю.С.</w:t>
      </w:r>
    </w:p>
    <w:p w14:paraId="26000000">
      <w:pPr>
        <w:rPr>
          <w:rFonts w:ascii="Calibri" w:hAnsi="Calibri"/>
        </w:rPr>
      </w:pPr>
    </w:p>
    <w:p w14:paraId="27000000">
      <w:pPr>
        <w:rPr>
          <w:rFonts w:ascii="Calibri" w:hAnsi="Calibri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г.Саров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2023-2024 </w:t>
      </w:r>
      <w:r>
        <w:rPr>
          <w:rFonts w:ascii="Times New Roman" w:hAnsi="Times New Roman"/>
          <w:sz w:val="28"/>
        </w:rPr>
        <w:t>г.</w:t>
      </w:r>
    </w:p>
    <w:p w14:paraId="2A000000">
      <w:pPr>
        <w:spacing w:line="240" w:lineRule="auto"/>
        <w:ind w:firstLine="284" w:left="0"/>
        <w:contextualSpacing w:val="1"/>
        <w:jc w:val="both"/>
        <w:rPr>
          <w:rFonts w:ascii="XO Thames" w:hAnsi="XO Thames"/>
          <w:i w:val="0"/>
          <w:sz w:val="32"/>
          <w:u w:val="none"/>
        </w:rPr>
      </w:pPr>
      <w:r>
        <w:rPr>
          <w:rFonts w:ascii="XO Thames" w:hAnsi="XO Thames"/>
          <w:b w:val="1"/>
          <w:i w:val="0"/>
          <w:sz w:val="32"/>
          <w:u w:val="none"/>
        </w:rPr>
        <w:t>Тема:</w:t>
      </w:r>
      <w:r>
        <w:rPr>
          <w:rFonts w:ascii="XO Thames" w:hAnsi="XO Thames"/>
          <w:i w:val="0"/>
          <w:caps w:val="1"/>
          <w:spacing w:val="-20"/>
          <w:sz w:val="48"/>
          <w:u w:val="none"/>
          <w:vertAlign w:val="subscript"/>
        </w:rPr>
        <w:t xml:space="preserve"> </w:t>
      </w:r>
      <w:r>
        <w:rPr>
          <w:rFonts w:ascii="XO Thames" w:hAnsi="XO Thames"/>
          <w:sz w:val="32"/>
        </w:rPr>
        <w:t>«</w:t>
      </w:r>
      <w:r>
        <w:rPr>
          <w:rFonts w:ascii="XO Thames" w:hAnsi="XO Thames"/>
          <w:sz w:val="32"/>
        </w:rPr>
        <w:t>Сенсорное развитие детей раннего возраста</w:t>
      </w:r>
      <w:r>
        <w:rPr>
          <w:rFonts w:ascii="XO Thames" w:hAnsi="XO Thames"/>
          <w:sz w:val="32"/>
        </w:rPr>
        <w:t xml:space="preserve">». </w:t>
      </w:r>
    </w:p>
    <w:p w14:paraId="2B000000">
      <w:pPr>
        <w:spacing w:line="240" w:lineRule="auto"/>
        <w:ind w:firstLine="284" w:left="0"/>
        <w:contextualSpacing w:val="1"/>
        <w:jc w:val="both"/>
        <w:rPr>
          <w:rFonts w:ascii="XO Thames" w:hAnsi="XO Thames"/>
          <w:sz w:val="32"/>
        </w:rPr>
      </w:pPr>
    </w:p>
    <w:p w14:paraId="2C000000">
      <w:pPr>
        <w:spacing w:line="240" w:lineRule="auto"/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Актуальность: </w:t>
      </w:r>
      <w:r>
        <w:rPr>
          <w:rFonts w:ascii="XO Thames" w:hAnsi="XO Thames"/>
          <w:sz w:val="28"/>
        </w:rPr>
        <w:t xml:space="preserve">в настоящее время идеи раннего развития становятся все более популярными. </w:t>
      </w:r>
      <w:r>
        <w:rPr>
          <w:rFonts w:ascii="XO Thames" w:hAnsi="XO Thames"/>
          <w:sz w:val="28"/>
        </w:rPr>
        <w:t>Занимаясь с самыми маленькими, основное внимание следует уделять сенсорному развитию, развитию речи, знакомству с окружающим миром, развитию движений и мелкой моторики. С восприятия предметов и явлений окружающего мира начинается познание.</w:t>
      </w:r>
      <w:r>
        <w:rPr>
          <w:rFonts w:ascii="XO Thames" w:hAnsi="XO Thames"/>
          <w:sz w:val="28"/>
        </w:rPr>
        <w:t xml:space="preserve">Поэтому нормальное развитие невозможно без опоры на полноценное восприятие. В раннем возрасте предметный мир вызывает у малыша наибольший интерес. И взрослые должны помочь ему обеспечить полноценную сенсорную среду. Прежде всего, нужно предоставить для восприятия как можно больше разнообразных сенсорных впечатлений. Кроме этого, надо обучать малыша </w:t>
      </w:r>
      <w:r>
        <w:rPr>
          <w:rFonts w:ascii="XO Thames" w:hAnsi="XO Thames"/>
          <w:sz w:val="28"/>
        </w:rPr>
        <w:t xml:space="preserve">целенаправленным действиям с предметами – осматриванию, выслушиванию, ощупыванию, опробованию и др. В этом случае малыш не просто воспринимает предметы со всеми их свойствами, но также запоминает, учится использовать эти знания в различных ситуациях. </w:t>
      </w:r>
    </w:p>
    <w:p w14:paraId="2D000000">
      <w:pPr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  <w:u w:val="single"/>
        </w:rPr>
        <w:t>Цель</w:t>
      </w:r>
      <w:r>
        <w:rPr>
          <w:rFonts w:ascii="XO Thames" w:hAnsi="XO Thames"/>
          <w:b w:val="1"/>
          <w:sz w:val="28"/>
        </w:rPr>
        <w:t>:</w:t>
      </w:r>
      <w:r>
        <w:rPr>
          <w:rFonts w:ascii="XO Thames" w:hAnsi="XO Thames"/>
          <w:sz w:val="28"/>
        </w:rPr>
        <w:t xml:space="preserve"> Повышение своего педагогического уровня, проф</w:t>
      </w:r>
      <w:r>
        <w:rPr>
          <w:rFonts w:ascii="XO Thames" w:hAnsi="XO Thames"/>
          <w:sz w:val="28"/>
        </w:rPr>
        <w:t>ессионального мастерства и компетентности по сенсорному развитию детей раннего возраста.</w:t>
      </w:r>
    </w:p>
    <w:p w14:paraId="2E000000">
      <w:pPr>
        <w:spacing w:line="240" w:lineRule="auto"/>
        <w:ind w:firstLine="284" w:left="0"/>
        <w:contextualSpacing w:val="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  <w:u w:val="single"/>
        </w:rPr>
        <w:t>Задачи</w:t>
      </w:r>
      <w:r>
        <w:rPr>
          <w:rFonts w:ascii="XO Thames" w:hAnsi="XO Thames"/>
          <w:b w:val="1"/>
          <w:sz w:val="28"/>
        </w:rPr>
        <w:t xml:space="preserve">: </w:t>
      </w:r>
      <w:r>
        <w:rPr>
          <w:rFonts w:ascii="XO Thames" w:hAnsi="XO Thames"/>
          <w:sz w:val="28"/>
        </w:rPr>
        <w:t>Формировать </w:t>
      </w:r>
      <w:r>
        <w:rPr>
          <w:rFonts w:ascii="XO Thames" w:hAnsi="XO Thames"/>
          <w:sz w:val="28"/>
        </w:rPr>
        <w:t xml:space="preserve">цветовое восприятие </w:t>
      </w:r>
      <w:r>
        <w:t>у детей знания об основных цветах: красный, желтый, синий, зеленый.  Учить подбирать предметы по цвету.  Развивать внимание, усидчивость.</w:t>
      </w:r>
      <w:r>
        <w:rPr>
          <w:rFonts w:ascii="XO Thames" w:hAnsi="XO Thames"/>
          <w:sz w:val="28"/>
        </w:rPr>
        <w:t xml:space="preserve"> Устанавливать тождества и </w:t>
      </w:r>
      <w:r>
        <w:rPr>
          <w:rFonts w:ascii="XO Thames" w:hAnsi="XO Thames"/>
          <w:sz w:val="28"/>
        </w:rPr>
        <w:t>различия цвета</w:t>
      </w:r>
      <w:r>
        <w:rPr>
          <w:rFonts w:ascii="XO Thames" w:hAnsi="XO Thames"/>
          <w:sz w:val="28"/>
        </w:rPr>
        <w:t> однородных предметов. Учить </w:t>
      </w:r>
      <w:r>
        <w:rPr>
          <w:rFonts w:ascii="XO Thames" w:hAnsi="XO Thames"/>
          <w:sz w:val="28"/>
        </w:rPr>
        <w:t>различать</w:t>
      </w:r>
      <w:r>
        <w:rPr>
          <w:rFonts w:ascii="XO Thames" w:hAnsi="XO Thames"/>
          <w:sz w:val="28"/>
        </w:rPr>
        <w:t>  и называть основные цвета,</w:t>
      </w:r>
      <w:r>
        <w:rPr>
          <w:rFonts w:ascii="XO Thames" w:hAnsi="XO Thames"/>
          <w:sz w:val="28"/>
        </w:rPr>
        <w:t xml:space="preserve"> учить отвечать на вопросы воспита</w:t>
      </w:r>
      <w:r>
        <w:rPr>
          <w:rFonts w:ascii="XO Thames" w:hAnsi="XO Thames"/>
          <w:sz w:val="28"/>
        </w:rPr>
        <w:t>теля, развивать логику, развивать исследовательские умения, мелкую моторику пальцев.</w:t>
      </w:r>
    </w:p>
    <w:p w14:paraId="2F000000">
      <w:pPr>
        <w:spacing w:after="225" w:before="225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Этапы работы по данной теме: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3097"/>
        <w:gridCol w:w="5777"/>
      </w:tblGrid>
      <w:tr>
        <w:trPr>
          <w:trHeight w:hRule="atLeast" w:val="90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Этапы самообразования</w:t>
            </w:r>
          </w:p>
        </w:tc>
        <w:tc>
          <w:tcPr>
            <w:tcW w:type="dxa" w:w="5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Перечень</w:t>
            </w:r>
          </w:p>
        </w:tc>
      </w:tr>
      <w:tr>
        <w:trPr>
          <w:trHeight w:hRule="atLeast" w:val="153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</w:t>
            </w:r>
          </w:p>
        </w:tc>
        <w:tc>
          <w:tcPr>
            <w:tcW w:type="dxa" w:w="3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>Подбор и изучение литературы.</w:t>
            </w:r>
          </w:p>
        </w:tc>
        <w:tc>
          <w:tcPr>
            <w:tcW w:type="dxa" w:w="5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numPr>
                <w:numId w:val="1"/>
              </w:numPr>
              <w:spacing w:after="120" w:before="120"/>
              <w:ind w:right="120"/>
              <w:jc w:val="both"/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  <w:u w:val="none"/>
              </w:rPr>
            </w:pPr>
            <w:r>
              <w:rPr>
                <w:rFonts w:ascii="XO Thames" w:hAnsi="XO Thames"/>
                <w:sz w:val="24"/>
              </w:rPr>
              <w:t>Башаева Т.В. Развитие восприятия у детей. Форма, цвет, звук. Ярославль</w:t>
            </w:r>
            <w:r>
              <w:rPr>
                <w:rFonts w:ascii="XO Thames" w:hAnsi="XO Thames"/>
                <w:sz w:val="24"/>
              </w:rPr>
              <w:t>“Академия развития”, 1997. – 197с.</w:t>
            </w:r>
          </w:p>
          <w:p w14:paraId="37000000">
            <w:pPr>
              <w:numPr>
                <w:numId w:val="1"/>
              </w:numPr>
              <w:spacing w:after="120" w:before="120"/>
              <w:ind w:right="120"/>
              <w:jc w:val="both"/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  <w:u w:val="none"/>
              </w:rPr>
            </w:pPr>
            <w:r>
              <w:rPr>
                <w:rFonts w:ascii="XO Thames" w:hAnsi="XO Thames"/>
                <w:sz w:val="24"/>
              </w:rPr>
              <w:t>Тимофеичева И.В., Оськина О.Е. «Развивающие игры-занятия для детей раннего возраста»</w:t>
            </w:r>
          </w:p>
          <w:p w14:paraId="38000000">
            <w:pPr>
              <w:numPr>
                <w:numId w:val="1"/>
              </w:num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Бондаренко А.К. Дидактическая игра в детском саду /А.К. Бондаренко. - М.:</w:t>
            </w:r>
            <w:r>
              <w:rPr>
                <w:rFonts w:ascii="XO Thames" w:hAnsi="XO Thames"/>
                <w:sz w:val="24"/>
              </w:rPr>
              <w:t>Просвещение,1991.-160 c</w:t>
            </w:r>
          </w:p>
          <w:p w14:paraId="39000000">
            <w:pPr>
              <w:numPr>
                <w:numId w:val="1"/>
              </w:numPr>
              <w:spacing w:after="120" w:before="120"/>
              <w:ind w:right="120"/>
              <w:jc w:val="both"/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  <w:u w:val="none"/>
              </w:rPr>
              <w:t>Бейлина, А. Игры и игровые средства. / Дошкольное воспитание, 1995. - №3. - С. 16 – 19.</w:t>
            </w:r>
          </w:p>
          <w:p w14:paraId="3A000000">
            <w:pPr>
              <w:numPr>
                <w:numId w:val="1"/>
              </w:numPr>
              <w:spacing w:after="120" w:before="120"/>
              <w:ind w:right="120"/>
              <w:jc w:val="both"/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  <w:u w:val="none"/>
              </w:rPr>
              <w:t>Зворыгина, Е. В. Формирование игры в группах раннего возраста // Игра и самостоятельная деятельность детей в системе дошкольного воспитания / Е.В. Зворыгина - Таллинн: 1994. - 285 с.</w:t>
            </w:r>
            <w:r>
              <w:rPr>
                <w:rFonts w:ascii="XO Thames" w:hAnsi="XO Thames"/>
                <w:b w:val="0"/>
                <w:color w:val="0C0C0C"/>
                <w:sz w:val="24"/>
                <w:u w:val="none"/>
              </w:rPr>
              <w:t xml:space="preserve"> </w:t>
            </w:r>
          </w:p>
          <w:p w14:paraId="3B000000">
            <w:pPr>
              <w:numPr>
                <w:numId w:val="1"/>
              </w:numPr>
              <w:spacing w:after="120" w:before="120"/>
              <w:ind w:right="120"/>
              <w:jc w:val="both"/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</w:rPr>
              <w:t>Развитие и обучение детей раннего возраста в ДОУ. учеб.- метод. пособие/ Е.С. Демина, Н.В. Казюк - М.: Творческий центр «Сфера», 2006.-192 с</w:t>
            </w:r>
          </w:p>
          <w:p w14:paraId="3C000000">
            <w:pPr>
              <w:numPr>
                <w:numId w:val="1"/>
              </w:numPr>
              <w:spacing w:after="120" w:before="120"/>
              <w:ind w:right="120"/>
              <w:jc w:val="both"/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</w:rPr>
              <w:t>Сенсорное воспитание в детском саду / / Под ред. Н.П. Сакулиной и Н.Н. Поддьяковой, Метод. Указание - М.: Просве</w:t>
            </w:r>
            <w:r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</w:rPr>
              <w:t>щение, 2001. - 176 с.</w:t>
            </w:r>
          </w:p>
          <w:p w14:paraId="3D000000">
            <w:pPr>
              <w:numPr>
                <w:numId w:val="1"/>
              </w:numPr>
              <w:spacing w:after="120" w:before="120"/>
              <w:ind w:right="120"/>
              <w:jc w:val="both"/>
              <w:rPr>
                <w:rFonts w:ascii="XO Thames" w:hAnsi="XO Thames"/>
                <w:b w:val="0"/>
                <w:i w:val="0"/>
                <w:caps w:val="0"/>
                <w:color w:val="0C0C0C"/>
                <w:spacing w:val="0"/>
                <w:sz w:val="24"/>
              </w:rPr>
            </w:pPr>
            <w:r>
              <w:rPr>
                <w:rFonts w:ascii="XO Thames" w:hAnsi="XO Thames"/>
                <w:sz w:val="24"/>
              </w:rPr>
              <w:t>Кузнецова А.Е. «Лучшие развивающие игры для детей от 1 года до 3 лет» - М. – 2008 г</w:t>
            </w:r>
          </w:p>
        </w:tc>
      </w:tr>
      <w:tr>
        <w:trPr>
          <w:trHeight w:hRule="atLeast" w:val="83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</w:t>
            </w:r>
          </w:p>
        </w:tc>
        <w:tc>
          <w:tcPr>
            <w:tcW w:type="dxa" w:w="3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/>
              <w:ind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>Участие в методической работе.</w:t>
            </w:r>
          </w:p>
        </w:tc>
        <w:tc>
          <w:tcPr>
            <w:tcW w:type="dxa" w:w="5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XO Thames" w:hAnsi="XO Thames"/>
                <w:b w:val="0"/>
                <w:color w:val="0C0C0C"/>
                <w:sz w:val="24"/>
              </w:rPr>
            </w:pPr>
          </w:p>
        </w:tc>
      </w:tr>
      <w:tr>
        <w:trPr>
          <w:trHeight w:hRule="atLeast" w:val="1652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3</w:t>
            </w:r>
          </w:p>
        </w:tc>
        <w:tc>
          <w:tcPr>
            <w:tcW w:type="dxa" w:w="3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>Формирование опыта по теме, внедрение в практику.</w:t>
            </w:r>
          </w:p>
        </w:tc>
        <w:tc>
          <w:tcPr>
            <w:tcW w:type="dxa" w:w="5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outlineLvl w:val="0"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 xml:space="preserve">1,Наглядная информация «Сенсорное развитие: средства, </w:t>
            </w:r>
            <w:r>
              <w:rPr>
                <w:rFonts w:ascii="XO Thames" w:hAnsi="XO Thames"/>
                <w:b w:val="0"/>
                <w:color w:val="0C0C0C"/>
                <w:sz w:val="24"/>
              </w:rPr>
              <w:t>формы, методы».</w:t>
            </w:r>
          </w:p>
          <w:p w14:paraId="44000000">
            <w:pPr>
              <w:spacing w:after="0" w:line="240" w:lineRule="auto"/>
              <w:ind/>
              <w:jc w:val="both"/>
              <w:outlineLvl w:val="0"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>2.</w:t>
            </w:r>
            <w:r>
              <w:rPr>
                <w:rFonts w:ascii="XO Thames" w:hAnsi="XO Thames"/>
                <w:b w:val="0"/>
                <w:color w:val="0C0C0C"/>
                <w:sz w:val="24"/>
              </w:rPr>
              <w:t xml:space="preserve">Консультация «Значение сенсорного развития». </w:t>
            </w:r>
          </w:p>
          <w:p w14:paraId="45000000">
            <w:pPr>
              <w:spacing w:after="0"/>
              <w:ind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>3.Р</w:t>
            </w:r>
            <w:r>
              <w:rPr>
                <w:rFonts w:ascii="XO Thames" w:hAnsi="XO Thames"/>
                <w:b w:val="0"/>
                <w:color w:val="0C0C0C"/>
                <w:sz w:val="24"/>
              </w:rPr>
              <w:t xml:space="preserve">одительское собрание на тему: </w:t>
            </w:r>
            <w:r>
              <w:rPr>
                <w:rFonts w:ascii="XO Thames" w:hAnsi="XO Thames"/>
                <w:b w:val="0"/>
                <w:color w:val="0C0C0C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«Сенсорное развитие»,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«Восприятие цвета детьми раннего возраста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жизни посредством дидактической игры»</w:t>
            </w:r>
          </w:p>
          <w:p w14:paraId="46000000">
            <w:pPr>
              <w:spacing w:after="0"/>
              <w:ind/>
              <w:rPr>
                <w:rFonts w:ascii="XO Thames" w:hAnsi="XO Thames"/>
                <w:b w:val="0"/>
                <w:color w:val="0C0C0C"/>
                <w:sz w:val="24"/>
              </w:rPr>
            </w:pPr>
          </w:p>
          <w:p w14:paraId="47000000">
            <w:pPr>
              <w:spacing w:after="0"/>
              <w:ind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4</w:t>
            </w:r>
          </w:p>
        </w:tc>
        <w:tc>
          <w:tcPr>
            <w:tcW w:type="dxa" w:w="3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>Обогащение образовательного процесса (развивающей предметно – пространственной среды).</w:t>
            </w:r>
          </w:p>
        </w:tc>
        <w:tc>
          <w:tcPr>
            <w:tcW w:type="dxa" w:w="5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 xml:space="preserve">Папка-передвижка «Сенсорное развитие через дидактические игры». </w:t>
            </w:r>
          </w:p>
          <w:p w14:paraId="4B000000">
            <w:pPr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>Папка-передвижка « Играем с пальчиками и развиваем речь»</w:t>
            </w:r>
          </w:p>
          <w:p w14:paraId="4C000000">
            <w:pPr>
              <w:spacing w:after="0"/>
              <w:ind/>
              <w:rPr>
                <w:rFonts w:ascii="XO Thames" w:hAnsi="XO Thames"/>
                <w:b w:val="0"/>
                <w:color w:val="0C0C0C"/>
                <w:sz w:val="24"/>
              </w:rPr>
            </w:pPr>
            <w:r>
              <w:rPr>
                <w:rFonts w:ascii="XO Thames" w:hAnsi="XO Thames"/>
                <w:b w:val="0"/>
                <w:color w:val="0C0C0C"/>
                <w:sz w:val="24"/>
              </w:rPr>
              <w:t xml:space="preserve">Изготовление и подбор дидактических игр по цветам. </w:t>
            </w:r>
          </w:p>
        </w:tc>
      </w:tr>
    </w:tbl>
    <w:p w14:paraId="4D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4E000000">
      <w:pPr>
        <w:spacing w:after="225" w:before="225" w:line="240" w:lineRule="auto"/>
        <w:ind/>
        <w:jc w:val="both"/>
        <w:rPr>
          <w:rFonts w:ascii="XO Thames" w:hAnsi="XO Thames"/>
          <w:b w:val="0"/>
          <w:strike w:val="0"/>
          <w:color w:val="000000"/>
          <w:spacing w:val="0"/>
          <w:sz w:val="28"/>
        </w:rPr>
      </w:pPr>
      <w:r>
        <w:rPr>
          <w:rFonts w:ascii="XO Thames" w:hAnsi="XO Thames"/>
          <w:b w:val="1"/>
          <w:strike w:val="0"/>
          <w:color w:val="000000"/>
          <w:spacing w:val="0"/>
          <w:sz w:val="28"/>
          <w:u w:val="single"/>
        </w:rPr>
        <w:t>Выводы: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 xml:space="preserve"> Я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 xml:space="preserve"> выбрала тему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strike w:val="0"/>
          <w:color w:val="000000"/>
          <w:spacing w:val="0"/>
          <w:sz w:val="28"/>
        </w:rPr>
        <w:t>«</w:t>
      </w:r>
      <w:r>
        <w:rPr>
          <w:rFonts w:ascii="XO Thames" w:hAnsi="XO Thames"/>
          <w:b w:val="0"/>
          <w:strike w:val="0"/>
          <w:color w:val="000000"/>
          <w:spacing w:val="0"/>
          <w:sz w:val="28"/>
        </w:rPr>
        <w:t>Разло</w:t>
      </w:r>
      <w:r>
        <w:rPr>
          <w:rFonts w:ascii="XO Thames" w:hAnsi="XO Thames"/>
          <w:b w:val="0"/>
          <w:strike w:val="0"/>
          <w:color w:val="000000"/>
          <w:spacing w:val="0"/>
          <w:sz w:val="28"/>
        </w:rPr>
        <w:t>жи по цвету»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 xml:space="preserve"> по самообразованию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>, так как эта тема очень актуальна и имеет значение в жизни моих воспитанников. Детям очень нравится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выбирать и сортировать предметы по цвету, отвечать на вопросы, исследовать предметы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>. Работа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 xml:space="preserve"> по развитию мелкой моторики </w:t>
      </w:r>
      <w:r>
        <w:rPr>
          <w:rFonts w:ascii="XO Thames" w:hAnsi="XO Thames"/>
          <w:sz w:val="28"/>
        </w:rPr>
        <w:t>пальцев воспитывать интерес к занятиям</w:t>
      </w:r>
      <w:r>
        <w:rPr>
          <w:rFonts w:ascii="XO Thames" w:hAnsi="XO Thames"/>
          <w:b w:val="0"/>
          <w:strike w:val="0"/>
          <w:color w:val="000000"/>
          <w:spacing w:val="0"/>
          <w:sz w:val="28"/>
          <w:highlight w:val="white"/>
        </w:rPr>
        <w:t>,так как предполагает тесное общение с детьми и родителями. Что благоприятно влияет на отношения и дружескую атмосферу в детском коллективе.</w:t>
      </w:r>
    </w:p>
    <w:p w14:paraId="4F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2024-03-25T12:37:12Z</dcterms:modified>
</cp:coreProperties>
</file>