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Лето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Вот и лето наступило!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Все уроки кончились!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Наконец-то время игр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И досуга началось!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Спи и бегай, отдыхай,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Что угодно делай!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Плавай или загорай -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Или ходи белый.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Обожаю, когда лето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И кругом каникулы!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Сделай то и сделай это-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Не кричат родители.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А. Гурин, 7г класс, МБОУ “Гимназия 6” г.Брянска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