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Технологии организации досуга несовершеннолетних из малообеспеченных семей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.SF UI" w:cs=".SF UI" w:eastAsia=".SF UI" w:hAnsi=".SF U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.SFUI-Semibold" w:cs=".SFUI-Semibold" w:eastAsia=".SFUI-Semibold" w:hAnsi=".SFUI-Semibol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Аннотация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.SF UI" w:cs=".SF UI" w:eastAsia=".SF UI" w:hAnsi=".SF U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.SF UI" w:cs=".SF UI" w:eastAsia=".SF UI" w:hAnsi=".SF U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.SFUI-Regular" w:cs=".SFUI-Regular" w:eastAsia=".SFUI-Regular" w:hAnsi=".SFUI-Regul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статье рассматриваются современные технологии организации досуга несовершеннолетних из малообеспеченных семей. Актуальность темы обусловлена необходимостью создания доступной и безопасной среды для отдыха и развития детей, находящихся в трудной жизненной ситуации. В работе анализируются существующие модели досуговой деятельности, включая программы социальной адаптации, культурные и спортивные инициативы, а также волонтерские проекты. Особое внимание уделяется роли государственных и некоммерческих организаций в обеспечении доступности досуга для данной категории детей.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.SF UI" w:cs=".SF UI" w:eastAsia=".SF UI" w:hAnsi=".SF U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.SF UI" w:cs=".SF UI" w:eastAsia=".SF UI" w:hAnsi=".SF U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.SFUI-Regular" w:cs=".SFUI-Regular" w:eastAsia=".SFUI-Regular" w:hAnsi=".SFUI-Regul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Исследование основано на методах анкетирования, интервьюирования и анализа практического опыта работы с несовершеннолетними. Результаты показывают, что внедрение инновационных подходов, таких как использование цифровых технологий и создание кросс-секторальных партнерств, способствует улучшению качества досуга и повышению социальной активности детей.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.SF UI" w:cs=".SF UI" w:eastAsia=".SF UI" w:hAnsi=".SF U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.SF UI" w:cs=".SF UI" w:eastAsia=".SF UI" w:hAnsi=".SF U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.SFUI-Regular" w:cs=".SFUI-Regular" w:eastAsia=".SFUI-Regular" w:hAnsi=".SFUI-Regul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заключение авторы предлагают рекомендации по оптимизации существующих программ и разработке новых инициатив, направленных на поддержку досуговой деятельности несовершеннолетних из малообеспеченных семей, что может способствовать их социальной интеграции и личностному развитию.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Свободное время человека является важным ресурсом, особенно когда оно способствует развитию личности и самовыражению. Досуг — это неотъемлемая часть жизни, где происходит выбор деятельности для отдыха и самореализации. Однако значение свободного времени в формировании личности противоречиво: оно может как способствовать развитию, так и стать основой для антисоциальных занятий. Это особенно актуально для несовершеннолетних, чей духовный мир еще формируется.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Исследования показывают, что социально-культурные услуги недоступны для многих незащищенных категорий детей. Родители, как правило, сосредоточены на удовлетворении базовых потребностей своих детей, а качественный отдых организуют по остаточному принципу. Нехватка внимания к досугу детей из малообеспеченных семей часто приводит к негативным последствиям, включая преступность. Дети, оставшиеся без присмотра, могут направить свое свободное время в неправильное русло.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Социально-экономическое неравенство также отрицательно сказывается на возможностях подростков получать полноценный досуг, что может привести к проблемам социализации и негативно влиять на их физическое и психологическое развитие. Поэтому разработка эффективных технологий организации досуга для несовершеннолетних из таких семей имеет большое значение.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Государство предпринимает меры для поддержки этих детей, но четкой системы социальной поддержки в сфере досуга пока нет. Для решения этих проблем необходимы совместные усилия специалистов различных областей, включая социальных работников, которые могут выступать посредниками между семьями и обществом, а также помогать в преодолении социальных трудностей.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Досуг является ключевым социальным институтом, влияющим на развитие несовершеннолетних. Несмотря на учебу, дети проводят большую часть времени вне школы, и то, как они заполняют свое свободное время, оказывает значительное влияние на их личность. Вопрос организации досуга для детей и подростков становится одной из важнейших задач общества, поскольку он способствует развитию социальных навыков, творчества и здорового образа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Малообеспеченные семьи сталкиваются с трудностями в организации досуга своих детей. Финансовые ограничения серьезно сужают доступ к разнообразным формам досуговой деятельности. Как отмечает Г.Е. Пляскина, такие семьи осознают различия в качестве жизни, включая отдых и возможности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Материальные затруднения создают неравенство, лишая детей возможности участвовать в культурных мероприятиях из-за высоких затрат. Это может вызывать у них чувство исключенности и негативно сказываться на психологическом состоянии.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Для решения данной проблемы подросткам предлагаются бесплатные секции и занятия, организуемые центрами социальной защиты. Однако многие родители не осведомлены о таких возможностях, что затрудняет организацию досуга для их детей. Основные причины отсутствия информированности включают: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1. Ограниченное распространение информации о бесплатных секциях.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2. Сложность процесса поиска и регистрации на занятия.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3. Культурные предубеждения, связанные с участием во внешкольных мероприятиях.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Эти проблемы могут быть преодолены через социальную поддержку, улучшение доступности информации и упрощение регистрации. Это поможет увеличить участие детей из малообеспеченных семей в развивающих мероприятиях и поддержит их личностное и социальное развитие.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Специалисты по социальной работе могут выполнять несколько важных функций в этой сфере: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Информирование и просвещение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Они могут проводить информационные кампании для родителей о значении досуга для развития детей, а также о доступных возможностях и ресурсах. Это поможет повысить осведомленность о том, как важно уделять внимание организации досуга.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Создание доступных программ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Специалисты могут работать над разработкой и внедрением бесплатных или недорогих программ досуга, которые будут доступны для детей из разных социальных слоев. Это может включать секции, кружки, мастер-классы и другие мероприятия.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Индивидуальный подход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Социальные работники могут помогать подросткам выявлять их интересы и увлечения, а затем предлагать соответствующие занятия, что позволит сделать досуг более персонализированным и увлекательным.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Сотрудничество с другими организациями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Специалисты могут налаживать связи с местными учреждениями, такими как школы, библиотеки и культурные центры, для создания совместных программ и мероприятий, которые бы привлекали подростков.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Поддержка родителей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Важно также работать с родителями, предоставляя им инструменты и ресурсы для поддержки активного досуга их детей. Это может включать обучение тому, как организовать семейные мероприятия или как вовлечь детей в общественные проекты.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Таким образом, деятельность специалистов по социальной работе действительно может значительно повлиять на качество досуга несовершеннолетних и способствовать их гармоничному развитию. Это важный шаг к созданию более здорового и активного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«Если человек не знает, чем заняться в часы досуга, у него портится голова, сердце и нравственность», — говорил великий педагог К.Д. Ушинский, подчеркивая важность досуговой деятельности для несовершеннолетних. Досуг — это активная деятельность, направленная на удовлетворение потребностей в самопознании и саморазвитии. Особенно актуальна эта тема для подрастающего поколения, которое восприимчиво к социокультурным изменениям.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Основные ценности досуга — отдых и движение, способствующие восстановлению физического и душевного равновесия. Они помогают снять напряжение, предотвратить конфликты и развивать коммуникацию. Важно рассматривать досуговую деятельность как средство воспитания и формирования всесторонне развитой личности, учитывая ее воспитательное значение при выборе занятий.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Однако подростки из малообеспеченных семей часто сталкиваются с социальной изоляцией и ограниченными возможностями для общения из-за материальных трудностей и недостатка информации о доступных досуговых программах.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Специалисты по социальной работе могут выступать связующим звеном между учреждениями досуга и подростками, нуждающимися в поддержке. Их задачи включают: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• Социализацию несовершеннолетних;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• Раскрытие творческих способностей;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• Реабилитацию и снижение психологических нагрузок;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• Формирование здорового образа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Специалисты должны помогать подросткам реализовать свои потенциалы, предлагая доступные мероприятия и секции. Для этого они проводят индивидуальные беседы, организуют дневные программы для подростков и их матерей, а также различные праздники, соревнования и мастер-классы, чтобы заинтересовать детей в активной досуговой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Для глубокого понимания организации досуга несовершеннолетних из малообеспеченных семей в центрах социального обслуживания населения (ЦСОН) было проведено глубинное интервью с пятью специалистами ГБУ СО «Тракторозаводский ЦСОН».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К сожалению, их ответы оказались стереотипными, что побудило нас проанализировать взаимосвязи в их мнениях. Интервью охватывало следующие аспекты: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Программы и услуги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Специалисты рассказали о доступных мероприятиях для детей из малообеспеченных семей и их адаптации к потребностям целевой аудитории.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Работа с семьями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Обсуждались методы взаимодействия с родителями для поддержки организации досуга.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Идентификация потребностей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Специалисты делились опытом выявления потребностей детей и анализировали препятствия, такие как финансовые трудности и отсутствие информированности.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Предложения по развитию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Специалисты озвучили меры по улучшению культурно-досуговой деятельности для несовершеннолетних.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Исследование выявило несколько ключевых тем и требований к организации досуга: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Неравномерность доступа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Все специалисты отметили различия в доступе к досуговым мероприятиям в разных районах из-за недостатка ресурсов и инфраструктуры. Необходимо провести анализ и разработать программы для устранения этих различий.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Проблемы информирования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Недостаточная информированность родителей и детей о доступных возможностях является серьезным препятствием. Рекомендуется улучшить систему информирования через социальные сети, бюллетени и местные СМИ.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Недостаток ресурсов и координации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Специалисты указали на нехватку ресурсов и недостаточную координацию между учреждениями, что затрудняет организацию досуга. Важно усилить сотрудничество между ЦСОН, школами и домами культуры через создание межведомственных рабочих групп и обмен опытом.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Расширение информационной поддержки для семей из малообеспеченных групп действительно требует комплексного подхода. Мы выяснили несколько ключевых аспектов, которые могут помочь в этом процессе: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Создание единой информационной платформы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Разработка онлайн-портала или мобильного приложения, где будет собрана информация о всех доступных мероприятиях, ресурсах и услугах для детей и семей. Это может включать расписания, описание мероприятий, контактные данные организаторов и отзывы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Сотрудничество с местными СМИ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Установление партнерства с местными газетами, радиостанциями и телеканалами для регулярного освещения мероприятий и программ, направленных на поддержку малообеспеченных семей. Это поможет повысить осведомленность и привлечь внимание к важным инициативам.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Информационные кампании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Проведение информационных кампаний в школах, общественных центрах и на мероприятиях, ориентированных на семьи. Распространение буклетов, флаеров и плакатов с информацией о доступных ресурсах и мероприятиях.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Обучение специалистов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Проведение тренингов для работников ЦСОН и других учреждений, чтобы они могли более эффективно информировать семьи о доступных возможностях и ресурсах. Это также поможет улучшить качество взаимодействия с родителями.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Использование социальных сетей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Активное использование платформ социальных сетей для распространения информации о мероприятиях. Создание групп или страниц, где семьи смогут получать актуальные новости, задавать вопросы и делиться опытом.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.SFUI-Regular" w:cs=".SFUI-Regular" w:eastAsia=".SFUI-Regular" w:hAnsi=".SFUI-Regular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Обратная связь от семей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Важно наладить механизм обратной связи, чтобы понимать, какие ресурсы и мероприятия наиболее востребованы. Это поможет адаптировать информацию и услуги под реальные потребности целевой аудитории.</w:t>
      </w:r>
    </w:p>
    <w:p w:rsidR="00000000" w:rsidDel="00000000" w:rsidP="00000000" w:rsidRDefault="00000000" w:rsidRPr="00000000" w14:paraId="00000065">
      <w:pPr>
        <w:rPr>
          <w:rFonts w:ascii=".SFUI-Regular" w:cs=".SFUI-Regular" w:eastAsia=".SFUI-Regular" w:hAnsi=".SFUI-Regular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.SFUI-Semibold" w:cs=".SFUI-Semibold" w:eastAsia=".SFUI-Semibold" w:hAnsi=".SFUI-Semibold"/>
          <w:b w:val="1"/>
          <w:sz w:val="28"/>
          <w:szCs w:val="28"/>
          <w:rtl w:val="0"/>
        </w:rPr>
        <w:t xml:space="preserve">Координация между учреждениями</w:t>
      </w: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: Установление эффективной системы взаимодействия между различными учреждениями (школами, библиотеками, домами культуры и ЦСОН) для обмена информацией и совместного планирования мероприятий.</w:t>
      </w:r>
    </w:p>
    <w:p w:rsidR="00000000" w:rsidDel="00000000" w:rsidP="00000000" w:rsidRDefault="00000000" w:rsidRPr="00000000" w14:paraId="00000066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.SFUI-Regular" w:cs=".SFUI-Regular" w:eastAsia=".SFUI-Regular" w:hAnsi=".SFUI-Regular"/>
          <w:sz w:val="28"/>
          <w:szCs w:val="28"/>
        </w:rPr>
      </w:pPr>
      <w:r w:rsidDel="00000000" w:rsidR="00000000" w:rsidRPr="00000000">
        <w:rPr>
          <w:rFonts w:ascii=".SFUI-Regular" w:cs=".SFUI-Regular" w:eastAsia=".SFUI-Regular" w:hAnsi=".SFUI-Regular"/>
          <w:sz w:val="28"/>
          <w:szCs w:val="28"/>
          <w:rtl w:val="0"/>
        </w:rPr>
        <w:t xml:space="preserve">Таким образом, комплексный подход к информационной поддержке может значительно повысить доступность досуговых мероприятий для семей из малообеспеченных групп и способствовать их социальной интеграции и развитию.</w:t>
      </w:r>
    </w:p>
    <w:p w:rsidR="00000000" w:rsidDel="00000000" w:rsidP="00000000" w:rsidRDefault="00000000" w:rsidRPr="00000000" w14:paraId="00000068">
      <w:pPr>
        <w:rPr>
          <w:rFonts w:ascii=".SFUI-Regular" w:cs=".SFUI-Regular" w:eastAsia=".SFUI-Regular" w:hAnsi=".SFUI-Regula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5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Исследование организации досуга для несовершеннолетних из малообеспеченных семей подчеркивает его важность для развития социальных навыков, умения работать в коллективе и поиска самоидентификации среди подростков. Однако для многих детей и подростков из данных семей доступ к разнообразному досугу ограничен из-за финансовых трудностей и нехватки информации у их родителей или опекунов о доступных ресурсах.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данной работе метод интервью позволил глубоко исследовать и выявить ключевые проблемы в организации досуга. Респонденты — специалисты по социальной работе, педагоги и сами родители — поделились своими наблюдениями и опытом, что привело к пониманию барьеров, таких как недостаточное финансирование, недостаток информации о бесплатных или доступных мероприятиях и программ. Эти интервью также выявили, что многие родители не осознают полной ценности досуговых активностей для развития их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Специалисты по социальной работе могут сыграть ключевую роль в преодолении этих проблем, служа связующим звеном между семьями и учреждениями, предоставляющими досуговые услуги. Для улучшения ситуации рекомендуется активизировать информационные кампании, направленные на семьи из малообеспеченных слоев населения, и развивать партнерство между государственными учреждениями и частными организациями для расширения и улучшения предложения досуговых мероприятий.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глубокое понимание проблематики и активное взаимодействие всех заинтересованных сторон являются ключом к созданию эффективных программ досуга, которые будут доступны всем слоям населения, включая несовершеннолетних из малообеспеченных семей.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.SF UI" w:cs=".SF UI" w:eastAsia=".SF UI" w:hAnsi=".SF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Список литературы: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Игейсинова, Г. М. Свободное время подростков. Участие в кружковой деятельности / Г. М. Игейсинова, Н. А. Ерёмина. — Текст :непосредственный // Молодой ученый. — 2015. — № 9 (89). — С. 1062-1064.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Черкасова Г.В. – «Теория и методика культурно-досуговой деятельности». -2023 г. – С.3.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3. 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Шамаева Е. -  «Сколько в России несовершеннолетних преступников?»//статистика-2023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74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4. 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Пляскина Г.Е. Социальная адаптация малообеспеченных семей в новых социально-экономических условиях: дне. ... канд. социол. наук / Москва, 2007. 19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5. 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Поливанова К., Сивак Е., Козьмина Я., - «Почему дети не ходят в кружки и секции?» Национальный исследовательский университет «Высшая школа экономики»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Орлов Г.П. «Свободное время и личность», Свердловск, 1983, 176с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7. 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Соколов Э.В. «Свободное время и культура досуга»,  Л.Лениздат, 1997. 207 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8. 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Курилова А. «Сколько школьников в прошлом году посещало кружки?»\\ Журнал «Ведомости»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9. 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highlight w:val="white"/>
          <w:rtl w:val="0"/>
        </w:rPr>
        <w:t xml:space="preserve">Ушинский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highlight w:val="white"/>
          <w:rtl w:val="0"/>
        </w:rPr>
        <w:t xml:space="preserve">К. 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highlight w:val="white"/>
          <w:rtl w:val="0"/>
        </w:rPr>
        <w:t xml:space="preserve">Человек как предмет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. Опыт педагогической антропологии / К. Д. Ушинский. - Санкт-Петербург: Лань, [б. г.]. -  Том I -  2013. - 371 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10. 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Ньюман Л. Анализ качественных методов// Соц. исс-я. 2009. №4, 110 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11. 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Белановский, С.А. Сравнительный анализ свободного и формали-зованного интервью в социально-экономических исследованиях / С.А. Белановский // Сравнительный анализ и методика социологических исследований. – М.: ИС АН СССР, 1989. – 180 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12. 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Ядов, В.А. Социологическое исследование: методология, программа, методы / В.А. Ядов. – М.: Наука, 1987. – 266 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13. 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Байгереев С.А. Бедность и политика адресной социальной помощи малоимущим семьям. 1999. – С. 197.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14. 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Дридзе Г.М., Орлова Э.А. Основы социокультурного проектирования. М., 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15. 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Кадомцева С.В. Социальная защита населения. М.:РАГС, 2003. – С. 264.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8"/>
          <w:szCs w:val="28"/>
          <w:rtl w:val="0"/>
        </w:rPr>
        <w:t xml:space="preserve">16. 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Кудрявцев М.В. Социальное обеспечение в Российской Федерации 1999. – С. 358.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525"/>
        <w:rPr>
          <w:rFonts w:ascii="-webkit-standard" w:cs="-webkit-standard" w:eastAsia="-webkit-standard" w:hAnsi="-webkit-standard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17. 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Белов Г., Тищенко П., Парфенов Ю. – «Психологические особенности подростков с различной направленностью досуговойдеятельности» -Текст научной статьи по специальности «Психологические науки»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.SF UI" w:cs=".SF UI" w:eastAsia=".SF UI" w:hAnsi=".SF U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.SF UI"/>
  <w:font w:name=".SFUI-Semibold"/>
  <w:font w:name=".SFUI-Regular"/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p1" w:customStyle="1">
    <w:name w:val="p1"/>
    <w:basedOn w:val="a"/>
    <w:rsid w:val="006B1CB2"/>
    <w:rPr>
      <w:rFonts w:ascii=".SF UI" w:cs="Times New Roman" w:hAnsi=".SF UI"/>
      <w:kern w:val="0"/>
      <w:sz w:val="18"/>
      <w:szCs w:val="18"/>
    </w:rPr>
  </w:style>
  <w:style w:type="paragraph" w:styleId="p2" w:customStyle="1">
    <w:name w:val="p2"/>
    <w:basedOn w:val="a"/>
    <w:rsid w:val="006B1CB2"/>
    <w:rPr>
      <w:rFonts w:ascii=".SF UI" w:cs="Times New Roman" w:hAnsi=".SF UI"/>
      <w:kern w:val="0"/>
      <w:sz w:val="18"/>
      <w:szCs w:val="18"/>
    </w:rPr>
  </w:style>
  <w:style w:type="character" w:styleId="s1" w:customStyle="1">
    <w:name w:val="s1"/>
    <w:basedOn w:val="a0"/>
    <w:rsid w:val="006B1CB2"/>
    <w:rPr>
      <w:rFonts w:ascii=".SFUI-Semibold" w:hAnsi=".SFUI-Semibold" w:hint="default"/>
      <w:b w:val="1"/>
      <w:bCs w:val="1"/>
      <w:i w:val="0"/>
      <w:iCs w:val="0"/>
      <w:sz w:val="18"/>
      <w:szCs w:val="18"/>
    </w:rPr>
  </w:style>
  <w:style w:type="character" w:styleId="s2" w:customStyle="1">
    <w:name w:val="s2"/>
    <w:basedOn w:val="a0"/>
    <w:rsid w:val="006B1CB2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styleId="apple-converted-space" w:customStyle="1">
    <w:name w:val="apple-converted-space"/>
    <w:basedOn w:val="a0"/>
    <w:rsid w:val="006B1CB2"/>
  </w:style>
  <w:style w:type="paragraph" w:styleId="s4" w:customStyle="1">
    <w:name w:val="s4"/>
    <w:basedOn w:val="a"/>
    <w:rsid w:val="00A92E8E"/>
    <w:pPr>
      <w:spacing w:after="100" w:afterAutospacing="1" w:before="100" w:beforeAutospacing="1"/>
    </w:pPr>
    <w:rPr>
      <w:rFonts w:ascii="Times New Roman" w:cs="Times New Roman" w:hAnsi="Times New Roman"/>
      <w:kern w:val="0"/>
      <w:sz w:val="24"/>
      <w:szCs w:val="24"/>
    </w:rPr>
  </w:style>
  <w:style w:type="character" w:styleId="bumpedfont15" w:customStyle="1">
    <w:name w:val="bumpedfont15"/>
    <w:basedOn w:val="a0"/>
    <w:rsid w:val="00A92E8E"/>
  </w:style>
  <w:style w:type="paragraph" w:styleId="a3">
    <w:name w:val="Normal (Web)"/>
    <w:basedOn w:val="a"/>
    <w:uiPriority w:val="99"/>
    <w:semiHidden w:val="1"/>
    <w:unhideWhenUsed w:val="1"/>
    <w:rsid w:val="00A92E8E"/>
    <w:pPr>
      <w:spacing w:after="100" w:afterAutospacing="1" w:before="100" w:beforeAutospacing="1"/>
    </w:pPr>
    <w:rPr>
      <w:rFonts w:ascii="Times New Roman" w:cs="Times New Roman" w:hAnsi="Times New Roman"/>
      <w:kern w:val="0"/>
      <w:sz w:val="24"/>
      <w:szCs w:val="24"/>
    </w:rPr>
  </w:style>
  <w:style w:type="character" w:styleId="s5" w:customStyle="1">
    <w:name w:val="s5"/>
    <w:basedOn w:val="a0"/>
    <w:rsid w:val="00077140"/>
  </w:style>
  <w:style w:type="paragraph" w:styleId="s6" w:customStyle="1">
    <w:name w:val="s6"/>
    <w:basedOn w:val="a"/>
    <w:rsid w:val="00077140"/>
    <w:pPr>
      <w:spacing w:after="100" w:afterAutospacing="1" w:before="100" w:beforeAutospacing="1"/>
    </w:pPr>
    <w:rPr>
      <w:rFonts w:ascii="Times New Roman" w:cs="Times New Roman" w:hAnsi="Times New Roman"/>
      <w:kern w:val="0"/>
      <w:sz w:val="24"/>
      <w:szCs w:val="24"/>
    </w:rPr>
  </w:style>
  <w:style w:type="character" w:styleId="s9" w:customStyle="1">
    <w:name w:val="s9"/>
    <w:basedOn w:val="a0"/>
    <w:rsid w:val="0007714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gAXakuO4iV7GxWQjGFngfsoWA==">CgMxLjA4AHIhMVA2d05yQ2JucnVuOW5VQkRKX3FtelNkVHpGZ2VIMUNv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2024-11-26T10:19:00Z</dcterms:created>
  <dc:creator>Мария Курмышева</dc:creator>
</cp:coreProperties>
</file>