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6A" w:rsidRPr="006D246A" w:rsidRDefault="006D246A" w:rsidP="006D246A">
      <w:pPr>
        <w:spacing w:after="0" w:line="288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35005360"/>
      <w:bookmarkStart w:id="1" w:name="_Toc35249605"/>
      <w:bookmarkStart w:id="2" w:name="_Toc35938148"/>
      <w:bookmarkStart w:id="3" w:name="_Toc40648760"/>
      <w:bookmarkStart w:id="4" w:name="_Toc40648887"/>
      <w:bookmarkStart w:id="5" w:name="_Toc42016948"/>
      <w:bookmarkStart w:id="6" w:name="_Toc44942501"/>
      <w:bookmarkStart w:id="7" w:name="_Toc44942942"/>
      <w:r w:rsidRPr="006D246A">
        <w:rPr>
          <w:rFonts w:ascii="Times New Roman" w:eastAsia="Calibri" w:hAnsi="Times New Roman" w:cs="Times New Roman"/>
          <w:b/>
          <w:bCs/>
          <w:sz w:val="24"/>
          <w:szCs w:val="24"/>
        </w:rPr>
        <w:t>УДК 351.861, 614.8.084</w:t>
      </w:r>
    </w:p>
    <w:p w:rsidR="006D246A" w:rsidRDefault="006D246A" w:rsidP="006D246A">
      <w:pPr>
        <w:pStyle w:val="a3"/>
        <w:widowControl w:val="0"/>
        <w:tabs>
          <w:tab w:val="left" w:pos="709"/>
        </w:tabs>
        <w:spacing w:before="120"/>
        <w:jc w:val="center"/>
        <w:rPr>
          <w:b/>
          <w:bCs/>
          <w:caps/>
          <w:szCs w:val="20"/>
        </w:rPr>
      </w:pPr>
    </w:p>
    <w:p w:rsidR="00822B08" w:rsidRDefault="00822B08" w:rsidP="006D246A">
      <w:pPr>
        <w:pStyle w:val="a3"/>
        <w:widowControl w:val="0"/>
        <w:tabs>
          <w:tab w:val="left" w:pos="709"/>
        </w:tabs>
        <w:spacing w:before="120"/>
        <w:jc w:val="center"/>
        <w:rPr>
          <w:b/>
          <w:bCs/>
          <w:caps/>
          <w:szCs w:val="20"/>
        </w:rPr>
      </w:pPr>
      <w:r w:rsidRPr="00CE17AF">
        <w:rPr>
          <w:b/>
          <w:bCs/>
          <w:caps/>
          <w:szCs w:val="20"/>
        </w:rPr>
        <w:t>Затопление территорий Ханты-Мансийского автономного округа-Югра, как черезвычайная ситуация в период половодья</w:t>
      </w:r>
    </w:p>
    <w:p w:rsidR="006D246A" w:rsidRDefault="006D246A" w:rsidP="006D246A">
      <w:pPr>
        <w:pStyle w:val="a3"/>
        <w:widowControl w:val="0"/>
        <w:tabs>
          <w:tab w:val="left" w:pos="709"/>
        </w:tabs>
        <w:spacing w:before="120"/>
        <w:jc w:val="center"/>
        <w:rPr>
          <w:b/>
          <w:bCs/>
          <w:caps/>
          <w:szCs w:val="20"/>
        </w:rPr>
      </w:pP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5"/>
      </w:tblGrid>
      <w:tr w:rsidR="006D246A" w:rsidRPr="00EB6B98" w:rsidTr="00765865">
        <w:tc>
          <w:tcPr>
            <w:tcW w:w="4756" w:type="dxa"/>
          </w:tcPr>
          <w:p w:rsidR="006D246A" w:rsidRPr="0066216D" w:rsidRDefault="006D246A" w:rsidP="006D246A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b/>
                <w:bCs/>
                <w:lang w:eastAsia="ru-RU"/>
              </w:rPr>
            </w:pPr>
            <w:r w:rsidRPr="0066216D">
              <w:rPr>
                <w:rFonts w:eastAsia="Calibri"/>
                <w:b/>
                <w:bCs/>
                <w:lang w:eastAsia="ru-RU"/>
              </w:rPr>
              <w:t>Дружинин В</w:t>
            </w:r>
            <w:r w:rsidR="0066216D">
              <w:rPr>
                <w:rFonts w:eastAsia="Calibri"/>
                <w:b/>
                <w:bCs/>
                <w:lang w:eastAsia="ru-RU"/>
              </w:rPr>
              <w:t>.</w:t>
            </w:r>
            <w:r w:rsidRPr="0066216D">
              <w:rPr>
                <w:rFonts w:eastAsia="Calibri"/>
                <w:b/>
                <w:bCs/>
                <w:lang w:eastAsia="ru-RU"/>
              </w:rPr>
              <w:t xml:space="preserve"> И</w:t>
            </w:r>
            <w:r w:rsidR="0066216D">
              <w:rPr>
                <w:rFonts w:eastAsia="Calibri"/>
                <w:b/>
                <w:bCs/>
                <w:lang w:eastAsia="ru-RU"/>
              </w:rPr>
              <w:t>.</w:t>
            </w:r>
          </w:p>
          <w:p w:rsidR="006D246A" w:rsidRPr="006D246A" w:rsidRDefault="006D246A" w:rsidP="006D246A">
            <w:pPr>
              <w:spacing w:line="288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66216D">
              <w:rPr>
                <w:rFonts w:eastAsia="Calibri"/>
                <w:sz w:val="22"/>
                <w:szCs w:val="22"/>
                <w:lang w:eastAsia="ru-RU"/>
              </w:rPr>
              <w:t xml:space="preserve">Слушатель заочного факультета </w:t>
            </w:r>
            <w:r w:rsidR="0066216D" w:rsidRPr="0066216D">
              <w:rPr>
                <w:rFonts w:eastAsia="Calibri"/>
                <w:sz w:val="22"/>
                <w:szCs w:val="22"/>
                <w:lang w:eastAsia="ru-RU"/>
              </w:rPr>
              <w:br/>
            </w:r>
            <w:r w:rsidRPr="0066216D">
              <w:rPr>
                <w:rFonts w:eastAsia="Calibri"/>
                <w:sz w:val="22"/>
                <w:szCs w:val="22"/>
                <w:lang w:eastAsia="ru-RU"/>
              </w:rPr>
              <w:t xml:space="preserve">ФГБВОУВО «Академия гражданской защиты МЧС России», </w:t>
            </w:r>
            <w:r w:rsidR="0066216D" w:rsidRPr="0066216D">
              <w:rPr>
                <w:rFonts w:eastAsia="Calibri"/>
                <w:sz w:val="22"/>
                <w:szCs w:val="22"/>
                <w:lang w:eastAsia="ru-RU"/>
              </w:rPr>
              <w:br/>
            </w:r>
            <w:r w:rsidRPr="0066216D">
              <w:rPr>
                <w:rFonts w:eastAsia="Calibri"/>
                <w:sz w:val="22"/>
                <w:szCs w:val="22"/>
                <w:lang w:eastAsia="ru-RU"/>
              </w:rPr>
              <w:t>E-mail: druzhininfiergold86@mail.ru</w:t>
            </w:r>
          </w:p>
        </w:tc>
        <w:tc>
          <w:tcPr>
            <w:tcW w:w="4815" w:type="dxa"/>
            <w:hideMark/>
          </w:tcPr>
          <w:p w:rsidR="006D246A" w:rsidRPr="006D246A" w:rsidRDefault="006D246A" w:rsidP="006D246A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 w:rsidRPr="006D246A"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Кузьмин А.И.</w:t>
            </w:r>
          </w:p>
          <w:p w:rsidR="006D246A" w:rsidRPr="006D246A" w:rsidRDefault="006D246A" w:rsidP="006D246A">
            <w:pPr>
              <w:spacing w:line="288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6D246A">
              <w:rPr>
                <w:rFonts w:eastAsia="Calibri"/>
                <w:sz w:val="22"/>
                <w:szCs w:val="22"/>
                <w:lang w:eastAsia="ru-RU"/>
              </w:rPr>
              <w:t>кандидат военных наук, профессор</w:t>
            </w:r>
          </w:p>
          <w:p w:rsidR="006D246A" w:rsidRPr="006D246A" w:rsidRDefault="006D246A" w:rsidP="006D246A">
            <w:pPr>
              <w:spacing w:line="288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6D246A">
              <w:rPr>
                <w:rFonts w:eastAsia="Calibri"/>
                <w:sz w:val="22"/>
                <w:szCs w:val="22"/>
                <w:lang w:eastAsia="ru-RU"/>
              </w:rPr>
              <w:t>ФГБВОУ ВО «Академия гражданской защиты МЧС России»</w:t>
            </w:r>
          </w:p>
          <w:p w:rsidR="006D246A" w:rsidRPr="006D246A" w:rsidRDefault="006D246A" w:rsidP="006D246A">
            <w:pPr>
              <w:spacing w:line="288" w:lineRule="auto"/>
              <w:rPr>
                <w:rFonts w:eastAsia="Calibri"/>
                <w:sz w:val="22"/>
                <w:szCs w:val="22"/>
                <w:lang w:eastAsia="ru-RU"/>
              </w:rPr>
            </w:pPr>
            <w:r w:rsidRPr="006D246A">
              <w:rPr>
                <w:rFonts w:eastAsia="Calibri"/>
                <w:sz w:val="22"/>
                <w:szCs w:val="22"/>
                <w:lang w:eastAsia="ru-RU"/>
              </w:rPr>
              <w:t>профессор кафедры (оперативного управления мероприятиями РСЧС и ГО)</w:t>
            </w:r>
          </w:p>
          <w:p w:rsidR="006D246A" w:rsidRPr="006D246A" w:rsidRDefault="006D246A" w:rsidP="006D246A">
            <w:pPr>
              <w:spacing w:line="288" w:lineRule="auto"/>
              <w:rPr>
                <w:b/>
                <w:sz w:val="22"/>
                <w:szCs w:val="22"/>
                <w:lang w:val="en-US" w:eastAsia="ru-RU"/>
              </w:rPr>
            </w:pPr>
            <w:r w:rsidRPr="006D246A">
              <w:rPr>
                <w:rFonts w:eastAsia="Calibri"/>
                <w:sz w:val="22"/>
                <w:szCs w:val="22"/>
                <w:lang w:val="en-US" w:eastAsia="ru-RU"/>
              </w:rPr>
              <w:t>E-mail: a.kuzmin@amchs.ru</w:t>
            </w:r>
          </w:p>
        </w:tc>
      </w:tr>
      <w:tr w:rsidR="006D246A" w:rsidRPr="00EB6B98" w:rsidTr="00765865">
        <w:tc>
          <w:tcPr>
            <w:tcW w:w="4756" w:type="dxa"/>
            <w:hideMark/>
          </w:tcPr>
          <w:p w:rsidR="006D246A" w:rsidRPr="006D246A" w:rsidRDefault="006D246A" w:rsidP="006D246A">
            <w:pPr>
              <w:spacing w:line="288" w:lineRule="auto"/>
              <w:rPr>
                <w:b/>
                <w:sz w:val="22"/>
                <w:szCs w:val="22"/>
                <w:lang w:val="en-US" w:eastAsia="ru-RU"/>
              </w:rPr>
            </w:pPr>
          </w:p>
        </w:tc>
        <w:tc>
          <w:tcPr>
            <w:tcW w:w="4815" w:type="dxa"/>
          </w:tcPr>
          <w:p w:rsidR="006D246A" w:rsidRPr="006D246A" w:rsidRDefault="006D246A" w:rsidP="006D246A">
            <w:pPr>
              <w:spacing w:line="288" w:lineRule="auto"/>
              <w:rPr>
                <w:b/>
                <w:sz w:val="22"/>
                <w:szCs w:val="22"/>
                <w:lang w:val="en-US" w:eastAsia="ru-RU"/>
              </w:rPr>
            </w:pPr>
          </w:p>
        </w:tc>
      </w:tr>
    </w:tbl>
    <w:p w:rsidR="006D246A" w:rsidRPr="006D246A" w:rsidRDefault="006D246A" w:rsidP="00B25CCD">
      <w:pPr>
        <w:pStyle w:val="a3"/>
        <w:widowControl w:val="0"/>
        <w:tabs>
          <w:tab w:val="left" w:pos="709"/>
        </w:tabs>
        <w:spacing w:before="120"/>
        <w:jc w:val="center"/>
        <w:outlineLvl w:val="0"/>
        <w:rPr>
          <w:b/>
          <w:bCs/>
          <w:caps/>
          <w:szCs w:val="20"/>
          <w:lang w:val="en-US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B25CCD" w:rsidRPr="00CE17AF" w:rsidRDefault="00CE17AF" w:rsidP="0066216D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17A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Аннотация.</w:t>
      </w:r>
      <w:r w:rsidR="00822B08" w:rsidRPr="00CE17AF">
        <w:rPr>
          <w:rFonts w:ascii="Times New Roman" w:eastAsia="Calibri" w:hAnsi="Times New Roman" w:cs="Times New Roman"/>
          <w:sz w:val="24"/>
          <w:szCs w:val="24"/>
          <w:lang w:eastAsia="ru-RU"/>
        </w:rPr>
        <w:t>В данной научной статье рассматривается проблема затопления территорий Ханты-Мансийского автономного округа-Югра в период весенне-летнего половодья. Особое внимание уделено анализу причин и последствий данной чрезвычайной ситуации, а также предложены</w:t>
      </w:r>
      <w:r w:rsidR="00C307A2" w:rsidRPr="00CE17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рекомендации по ее преодолению</w:t>
      </w:r>
      <w:r w:rsidR="00B25CCD" w:rsidRPr="00CE17AF">
        <w:rPr>
          <w:rFonts w:ascii="Times New Roman" w:hAnsi="Times New Roman" w:cs="Times New Roman"/>
          <w:sz w:val="24"/>
          <w:szCs w:val="24"/>
        </w:rPr>
        <w:t>.</w:t>
      </w:r>
    </w:p>
    <w:p w:rsidR="00B25CCD" w:rsidRPr="00CE17AF" w:rsidRDefault="00B25CCD" w:rsidP="0066216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5CCD" w:rsidRPr="00CE17AF" w:rsidRDefault="00B25CCD" w:rsidP="0066216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7AF">
        <w:rPr>
          <w:rFonts w:ascii="Times New Roman" w:eastAsia="Calibri" w:hAnsi="Times New Roman" w:cs="Times New Roman"/>
          <w:b/>
          <w:sz w:val="24"/>
          <w:szCs w:val="24"/>
        </w:rPr>
        <w:t>Ключевые слова:</w:t>
      </w:r>
      <w:r w:rsidR="00F47F7E" w:rsidRPr="00CE17AF">
        <w:rPr>
          <w:rFonts w:ascii="Times New Roman" w:hAnsi="Times New Roman" w:cs="Times New Roman"/>
          <w:sz w:val="24"/>
          <w:szCs w:val="24"/>
        </w:rPr>
        <w:t>затопление, зажоры, заторы, наводнение, чрезвычайная ситуация.</w:t>
      </w:r>
    </w:p>
    <w:p w:rsidR="00CE17AF" w:rsidRDefault="00CE17AF" w:rsidP="0066216D">
      <w:pPr>
        <w:pStyle w:val="a3"/>
        <w:widowControl w:val="0"/>
        <w:spacing w:line="288" w:lineRule="auto"/>
        <w:ind w:firstLine="709"/>
        <w:jc w:val="both"/>
        <w:rPr>
          <w:b/>
          <w:szCs w:val="24"/>
          <w:lang w:eastAsia="ru-RU"/>
        </w:rPr>
      </w:pPr>
    </w:p>
    <w:p w:rsidR="003C0338" w:rsidRPr="006D246A" w:rsidRDefault="003C0338" w:rsidP="0066216D">
      <w:pPr>
        <w:pStyle w:val="a3"/>
        <w:widowControl w:val="0"/>
        <w:jc w:val="center"/>
        <w:rPr>
          <w:b/>
          <w:szCs w:val="24"/>
          <w:lang w:val="en-US" w:eastAsia="ru-RU"/>
        </w:rPr>
      </w:pPr>
      <w:r w:rsidRPr="003C0338">
        <w:rPr>
          <w:b/>
          <w:szCs w:val="24"/>
          <w:lang w:val="en-US" w:eastAsia="ru-RU"/>
        </w:rPr>
        <w:t>FLOODING OF THE TERRITORIES OF THE KHANTY-MANSI AUTONOMOUS DISTRICT-YUGRA AS AN EMERGENCY</w:t>
      </w:r>
      <w:r w:rsidR="00E725AB">
        <w:rPr>
          <w:b/>
          <w:szCs w:val="24"/>
          <w:lang w:val="en-US" w:eastAsia="ru-RU"/>
        </w:rPr>
        <w:t xml:space="preserve"> SITUATION DURING THE PERIOD OF</w:t>
      </w:r>
      <w:r w:rsidR="00E725AB" w:rsidRPr="00E725AB">
        <w:rPr>
          <w:b/>
          <w:szCs w:val="24"/>
          <w:lang w:val="en-US" w:eastAsia="ru-RU"/>
        </w:rPr>
        <w:t xml:space="preserve"> </w:t>
      </w:r>
      <w:r w:rsidRPr="003C0338">
        <w:rPr>
          <w:b/>
          <w:szCs w:val="24"/>
          <w:lang w:val="en-US" w:eastAsia="ru-RU"/>
        </w:rPr>
        <w:t>FLOOD</w:t>
      </w:r>
    </w:p>
    <w:p w:rsidR="003C0338" w:rsidRDefault="003C0338" w:rsidP="005E3E62">
      <w:pPr>
        <w:pStyle w:val="a3"/>
        <w:widowControl w:val="0"/>
        <w:ind w:firstLine="284"/>
        <w:jc w:val="both"/>
        <w:rPr>
          <w:b/>
          <w:szCs w:val="24"/>
          <w:lang w:val="en-US" w:eastAsia="ru-RU"/>
        </w:rPr>
      </w:pP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F1415" w:rsidRPr="00EB6B98" w:rsidTr="00765865">
        <w:tc>
          <w:tcPr>
            <w:tcW w:w="4927" w:type="dxa"/>
          </w:tcPr>
          <w:p w:rsidR="00BE28F2" w:rsidRPr="00BE28F2" w:rsidRDefault="00BE28F2" w:rsidP="00BE28F2">
            <w:pPr>
              <w:pStyle w:val="a3"/>
              <w:widowControl w:val="0"/>
              <w:spacing w:line="288" w:lineRule="auto"/>
              <w:jc w:val="both"/>
              <w:rPr>
                <w:b/>
                <w:sz w:val="22"/>
                <w:szCs w:val="22"/>
                <w:lang w:val="en-US" w:eastAsia="ru-RU"/>
              </w:rPr>
            </w:pPr>
            <w:proofErr w:type="spellStart"/>
            <w:r w:rsidRPr="00BE28F2">
              <w:rPr>
                <w:b/>
                <w:sz w:val="22"/>
                <w:szCs w:val="22"/>
                <w:lang w:val="en-US" w:eastAsia="ru-RU"/>
              </w:rPr>
              <w:t>Druzhinin</w:t>
            </w:r>
            <w:proofErr w:type="spellEnd"/>
            <w:r w:rsidRPr="00BE28F2">
              <w:rPr>
                <w:b/>
                <w:sz w:val="22"/>
                <w:szCs w:val="22"/>
                <w:lang w:val="en-US" w:eastAsia="ru-RU"/>
              </w:rPr>
              <w:t xml:space="preserve"> V. I.</w:t>
            </w:r>
          </w:p>
          <w:p w:rsidR="005F1415" w:rsidRPr="005F1415" w:rsidRDefault="00BE28F2" w:rsidP="00BE28F2">
            <w:pPr>
              <w:spacing w:line="288" w:lineRule="auto"/>
              <w:rPr>
                <w:b/>
                <w:sz w:val="22"/>
                <w:szCs w:val="22"/>
                <w:lang w:val="en-US" w:eastAsia="ru-RU"/>
              </w:rPr>
            </w:pPr>
            <w:r w:rsidRPr="00BE28F2">
              <w:rPr>
                <w:sz w:val="22"/>
                <w:szCs w:val="22"/>
                <w:lang w:val="en-US" w:eastAsia="ru-RU"/>
              </w:rPr>
              <w:t xml:space="preserve">Student of the correspondence faculty, 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BE28F2">
              <w:rPr>
                <w:sz w:val="22"/>
                <w:szCs w:val="22"/>
                <w:lang w:val="en-US" w:eastAsia="ru-RU"/>
              </w:rPr>
              <w:t xml:space="preserve">Academy of </w:t>
            </w:r>
            <w:proofErr w:type="spellStart"/>
            <w:r w:rsidRPr="00BE28F2">
              <w:rPr>
                <w:sz w:val="22"/>
                <w:szCs w:val="22"/>
                <w:lang w:val="en-US" w:eastAsia="ru-RU"/>
              </w:rPr>
              <w:t>Сivil</w:t>
            </w:r>
            <w:proofErr w:type="spellEnd"/>
            <w:r w:rsidRPr="00BE28F2">
              <w:rPr>
                <w:sz w:val="22"/>
                <w:szCs w:val="22"/>
                <w:lang w:val="en-US" w:eastAsia="ru-RU"/>
              </w:rPr>
              <w:t xml:space="preserve"> Defense EMERCOM of Russia,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BE28F2">
              <w:rPr>
                <w:sz w:val="22"/>
                <w:szCs w:val="22"/>
                <w:lang w:val="en-US" w:eastAsia="ru-RU"/>
              </w:rPr>
              <w:t xml:space="preserve">E-mail: </w:t>
            </w:r>
            <w:proofErr w:type="spellStart"/>
            <w:r w:rsidRPr="00BE28F2">
              <w:rPr>
                <w:sz w:val="22"/>
                <w:szCs w:val="22"/>
                <w:lang w:val="en-US" w:eastAsia="ru-RU"/>
              </w:rPr>
              <w:t>azhibekov.arman</w:t>
            </w:r>
            <w:proofErr w:type="spellEnd"/>
            <w:r w:rsidRPr="00BE28F2">
              <w:rPr>
                <w:sz w:val="22"/>
                <w:szCs w:val="22"/>
                <w:lang w:val="en-US" w:eastAsia="ru-RU"/>
              </w:rPr>
              <w:t xml:space="preserve"> @ mail.ru</w:t>
            </w:r>
          </w:p>
        </w:tc>
        <w:tc>
          <w:tcPr>
            <w:tcW w:w="4927" w:type="dxa"/>
          </w:tcPr>
          <w:p w:rsidR="005F1415" w:rsidRPr="005F1415" w:rsidRDefault="005F1415" w:rsidP="005F1415">
            <w:pPr>
              <w:autoSpaceDE w:val="0"/>
              <w:autoSpaceDN w:val="0"/>
              <w:adjustRightInd w:val="0"/>
              <w:spacing w:line="288" w:lineRule="auto"/>
              <w:rPr>
                <w:rFonts w:eastAsia="Calibri"/>
                <w:b/>
                <w:bCs/>
                <w:sz w:val="22"/>
                <w:szCs w:val="22"/>
                <w:lang w:val="en-US" w:eastAsia="ru-RU"/>
              </w:rPr>
            </w:pPr>
            <w:r w:rsidRPr="005F1415">
              <w:rPr>
                <w:rFonts w:eastAsia="Calibri"/>
                <w:b/>
                <w:bCs/>
                <w:sz w:val="22"/>
                <w:szCs w:val="22"/>
                <w:lang w:val="en-US" w:eastAsia="ru-RU"/>
              </w:rPr>
              <w:t>Kuzmin A.I.</w:t>
            </w:r>
          </w:p>
          <w:p w:rsidR="005F1415" w:rsidRPr="005F1415" w:rsidRDefault="005F1415" w:rsidP="005F1415">
            <w:pPr>
              <w:spacing w:line="288" w:lineRule="auto"/>
              <w:rPr>
                <w:rFonts w:eastAsia="Calibri"/>
                <w:sz w:val="22"/>
                <w:szCs w:val="22"/>
                <w:lang w:val="en-US" w:eastAsia="ru-RU"/>
              </w:rPr>
            </w:pPr>
            <w:r w:rsidRPr="005F1415">
              <w:rPr>
                <w:rFonts w:eastAsia="Calibri"/>
                <w:sz w:val="22"/>
                <w:szCs w:val="22"/>
                <w:lang w:val="en-US" w:eastAsia="ru-RU"/>
              </w:rPr>
              <w:t>Ph.D. of Military Sciences, Professor,</w:t>
            </w:r>
          </w:p>
          <w:p w:rsidR="005F1415" w:rsidRPr="005F1415" w:rsidRDefault="005F1415" w:rsidP="005F1415">
            <w:pPr>
              <w:spacing w:line="288" w:lineRule="auto"/>
              <w:rPr>
                <w:rFonts w:eastAsia="Calibri"/>
                <w:sz w:val="22"/>
                <w:szCs w:val="22"/>
                <w:lang w:val="en-US" w:eastAsia="ru-RU"/>
              </w:rPr>
            </w:pPr>
            <w:r w:rsidRPr="005F1415">
              <w:rPr>
                <w:rFonts w:eastAsia="Calibri"/>
                <w:sz w:val="22"/>
                <w:szCs w:val="22"/>
                <w:lang w:val="en-US" w:eastAsia="ru-RU"/>
              </w:rPr>
              <w:t>Professor of the Department (Operational Management of Emergency Situations and Civil Defense)</w:t>
            </w:r>
          </w:p>
          <w:p w:rsidR="005F1415" w:rsidRPr="005F1415" w:rsidRDefault="005F1415" w:rsidP="005F1415">
            <w:pPr>
              <w:spacing w:line="288" w:lineRule="auto"/>
              <w:rPr>
                <w:rFonts w:eastAsia="Calibri"/>
                <w:sz w:val="22"/>
                <w:szCs w:val="22"/>
                <w:lang w:val="en-US" w:eastAsia="ru-RU"/>
              </w:rPr>
            </w:pPr>
            <w:r w:rsidRPr="005F1415">
              <w:rPr>
                <w:rFonts w:eastAsia="Calibri"/>
                <w:sz w:val="22"/>
                <w:szCs w:val="22"/>
                <w:lang w:val="en-US" w:eastAsia="ru-RU"/>
              </w:rPr>
              <w:t xml:space="preserve">The Civil </w:t>
            </w:r>
            <w:proofErr w:type="spellStart"/>
            <w:r w:rsidRPr="005F1415">
              <w:rPr>
                <w:rFonts w:eastAsia="Calibri"/>
                <w:sz w:val="22"/>
                <w:szCs w:val="22"/>
                <w:lang w:val="en-US" w:eastAsia="ru-RU"/>
              </w:rPr>
              <w:t>Defence</w:t>
            </w:r>
            <w:proofErr w:type="spellEnd"/>
            <w:r w:rsidRPr="005F1415">
              <w:rPr>
                <w:rFonts w:eastAsia="Calibri"/>
                <w:sz w:val="22"/>
                <w:szCs w:val="22"/>
                <w:lang w:val="en-US" w:eastAsia="ru-RU"/>
              </w:rPr>
              <w:t xml:space="preserve"> Academy EMERCOM of Russia</w:t>
            </w:r>
          </w:p>
          <w:p w:rsidR="005F1415" w:rsidRPr="005F1415" w:rsidRDefault="005F1415" w:rsidP="005F1415">
            <w:pPr>
              <w:spacing w:line="288" w:lineRule="auto"/>
              <w:jc w:val="both"/>
              <w:rPr>
                <w:sz w:val="22"/>
                <w:szCs w:val="22"/>
                <w:lang w:val="en-US" w:eastAsia="ru-RU"/>
              </w:rPr>
            </w:pPr>
            <w:r w:rsidRPr="005F1415">
              <w:rPr>
                <w:rFonts w:eastAsia="Calibri"/>
                <w:sz w:val="22"/>
                <w:szCs w:val="22"/>
                <w:lang w:val="en-US" w:eastAsia="ru-RU"/>
              </w:rPr>
              <w:t>E-mail: a.kuzmin@amchs.ru</w:t>
            </w:r>
          </w:p>
        </w:tc>
      </w:tr>
    </w:tbl>
    <w:p w:rsidR="005E3E62" w:rsidRPr="00CE17AF" w:rsidRDefault="005E3E62" w:rsidP="00BE28F2">
      <w:pPr>
        <w:pStyle w:val="a3"/>
        <w:widowControl w:val="0"/>
        <w:spacing w:line="288" w:lineRule="auto"/>
        <w:ind w:firstLine="709"/>
        <w:jc w:val="both"/>
        <w:rPr>
          <w:szCs w:val="24"/>
          <w:lang w:val="en-US" w:eastAsia="ru-RU"/>
        </w:rPr>
      </w:pPr>
    </w:p>
    <w:p w:rsidR="005E3E62" w:rsidRPr="00CE17AF" w:rsidRDefault="00CE17AF" w:rsidP="00BE28F2">
      <w:pPr>
        <w:pStyle w:val="a3"/>
        <w:widowControl w:val="0"/>
        <w:spacing w:line="288" w:lineRule="auto"/>
        <w:ind w:firstLine="709"/>
        <w:jc w:val="both"/>
        <w:rPr>
          <w:szCs w:val="24"/>
          <w:lang w:val="en-US" w:eastAsia="ru-RU"/>
        </w:rPr>
      </w:pPr>
      <w:r w:rsidRPr="00CE17AF">
        <w:rPr>
          <w:b/>
          <w:szCs w:val="24"/>
          <w:lang w:val="en-US" w:eastAsia="ru-RU"/>
        </w:rPr>
        <w:t>Abstract.</w:t>
      </w:r>
      <w:r w:rsidR="005E3E62" w:rsidRPr="00CE17AF">
        <w:rPr>
          <w:szCs w:val="24"/>
          <w:lang w:val="en-US" w:eastAsia="ru-RU"/>
        </w:rPr>
        <w:t xml:space="preserve">This scientific article examines the problem of flooding the territories of the </w:t>
      </w:r>
      <w:proofErr w:type="spellStart"/>
      <w:r w:rsidR="005E3E62" w:rsidRPr="00CE17AF">
        <w:rPr>
          <w:szCs w:val="24"/>
          <w:lang w:val="en-US" w:eastAsia="ru-RU"/>
        </w:rPr>
        <w:t>Khanty-Mansiysk</w:t>
      </w:r>
      <w:proofErr w:type="spellEnd"/>
      <w:r w:rsidR="005E3E62" w:rsidRPr="00CE17AF">
        <w:rPr>
          <w:szCs w:val="24"/>
          <w:lang w:val="en-US" w:eastAsia="ru-RU"/>
        </w:rPr>
        <w:t xml:space="preserve"> Autonomous </w:t>
      </w:r>
      <w:proofErr w:type="spellStart"/>
      <w:r w:rsidR="005E3E62" w:rsidRPr="00CE17AF">
        <w:rPr>
          <w:szCs w:val="24"/>
          <w:lang w:val="en-US" w:eastAsia="ru-RU"/>
        </w:rPr>
        <w:t>Okrug-Ugra</w:t>
      </w:r>
      <w:proofErr w:type="spellEnd"/>
      <w:r w:rsidR="005E3E62" w:rsidRPr="00CE17AF">
        <w:rPr>
          <w:szCs w:val="24"/>
          <w:lang w:val="en-US" w:eastAsia="ru-RU"/>
        </w:rPr>
        <w:t xml:space="preserve"> during the spring-summer flood. Particular attention is paid to the analysis of the causes and consequences of this emergency situation, and recommendations for overcoming it are also proposed.</w:t>
      </w:r>
    </w:p>
    <w:p w:rsidR="005E3E62" w:rsidRPr="00CE17AF" w:rsidRDefault="005E3E62" w:rsidP="00BE28F2">
      <w:pPr>
        <w:pStyle w:val="a3"/>
        <w:widowControl w:val="0"/>
        <w:spacing w:line="288" w:lineRule="auto"/>
        <w:ind w:firstLine="709"/>
        <w:jc w:val="both"/>
        <w:rPr>
          <w:szCs w:val="24"/>
          <w:lang w:val="en-US" w:eastAsia="ru-RU"/>
        </w:rPr>
      </w:pPr>
    </w:p>
    <w:p w:rsidR="00B25CCD" w:rsidRPr="003C0338" w:rsidRDefault="005E3E62" w:rsidP="00BE28F2">
      <w:pPr>
        <w:pStyle w:val="a3"/>
        <w:widowControl w:val="0"/>
        <w:spacing w:line="288" w:lineRule="auto"/>
        <w:ind w:firstLine="709"/>
        <w:jc w:val="both"/>
        <w:rPr>
          <w:szCs w:val="24"/>
          <w:lang w:val="en-US" w:eastAsia="ru-RU"/>
        </w:rPr>
      </w:pPr>
      <w:r w:rsidRPr="00CE17AF">
        <w:rPr>
          <w:b/>
          <w:szCs w:val="24"/>
          <w:lang w:val="en-US" w:eastAsia="ru-RU"/>
        </w:rPr>
        <w:t>Keywords:</w:t>
      </w:r>
      <w:r w:rsidRPr="00CE17AF">
        <w:rPr>
          <w:szCs w:val="24"/>
          <w:lang w:val="en-US" w:eastAsia="ru-RU"/>
        </w:rPr>
        <w:t xml:space="preserve"> flooding, jams, congestion, flooding, emergency.</w:t>
      </w:r>
    </w:p>
    <w:p w:rsidR="005E3E62" w:rsidRPr="008D4596" w:rsidRDefault="005E3E62" w:rsidP="008D4596">
      <w:pPr>
        <w:pStyle w:val="a3"/>
        <w:widowControl w:val="0"/>
        <w:spacing w:line="288" w:lineRule="auto"/>
        <w:ind w:firstLine="709"/>
        <w:jc w:val="both"/>
        <w:rPr>
          <w:szCs w:val="24"/>
          <w:lang w:val="en-US" w:eastAsia="ru-RU"/>
        </w:rPr>
      </w:pPr>
    </w:p>
    <w:p w:rsidR="006C038A" w:rsidRPr="008D4596" w:rsidRDefault="006C038A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Среди многочисленных опасностей природного и техногенного характера, возникающих на территории </w:t>
      </w:r>
      <w:r w:rsidR="008D4596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Федерации,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выделяют</w:t>
      </w:r>
      <w:r w:rsidR="008D4596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наводнения. Согласно ежегодным государственным докладам по защите населения и территории и по статическим данным МЧС России, наводнения по повторяемости, площади распространения, общему материальному ущербу занимают одно из первых мест в России среди существующих 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стихийных бедствий. По числу человеческих жертв они занимают второе место после </w:t>
      </w:r>
      <w:r w:rsidR="008D4596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землетрясений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. [1]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данным Росгидромета наводнениям в Российской Федерации </w:t>
      </w:r>
      <w:r w:rsidR="008D4596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периодически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подвержены территории около 500 тыс. кв. км., наводнениям с катастрофическими последствиями-150 тыс. кв. км., на территории которой расположено более 400 городов, десятки тысяч муниципальных образований, более 7 млн.га сельскохозяйственных угодий.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число чрезвычайных ситуаций, вызванных прохождением весеннего половодья, на территории Российской Федерации составляет от 28 до 73 случаев в год (средний показатель за 9 лет </w:t>
      </w:r>
      <w:r w:rsidR="004C5D10">
        <w:rPr>
          <w:rFonts w:ascii="Times New Roman" w:eastAsia="Calibri" w:hAnsi="Times New Roman" w:cs="Times New Roman"/>
          <w:sz w:val="24"/>
          <w:szCs w:val="24"/>
          <w:lang w:eastAsia="ru-RU"/>
        </w:rPr>
        <w:t>—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55 чрезвычайных ситуаций), что составляет около 5% от общего числа чрезвычайных ситуаций природного, техногенного и биолого-социального характера. Официальные данные государственных докладов МЧС России «О состоянии защиты населения и территорий Российской Федерации от чрезвычайных ситуаций природного и техногенного характера», охватывающие период 2011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2023 года, позволяют сделать вывод, что количество пострадавших и количество ущерба от опасных гидрологических явлений постоянно </w:t>
      </w:r>
      <w:r w:rsidR="00271731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растёт</w:t>
      </w:r>
      <w:bookmarkStart w:id="8" w:name="_Hlk160381673"/>
      <w:r w:rsidR="00271731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="0027173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71731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  <w:bookmarkEnd w:id="8"/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Основной причиной возникновения проблем, связанных с 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обширной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площадью затопляемости территории, считается глобальное потепление и достаточно большое количество осадков, которое за небольшой период времени выпадает в определенных регионах России.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Наибольшая часть наводнений на территории России происходит в период весеннего половодья, как следствие интенсивного таяния снегов. Такие наводнения происходят регулярно, уровни 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подъема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воды и затапливаемые участки, как правило, хорошо известны. Усложняют ситуацию явления, связанные с ледоходом. Таким образом, к числу наиболее опасных наводнений, приносящих значительный материальный ущерб, относятся </w:t>
      </w:r>
      <w:r w:rsidR="008D4596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наводнения,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обусловленныезаторами (зажорами) на реках. Ледовые заторы являются особенностью вскрытия этих рек.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половодья чрезвычайные ситуации имеют локальный, муниципальный, реже региональный уровень. Если развитие чрезвычайной ситуации федерального уровня 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напрямую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зависит от гидрологических и погодных особенностей сезона (паводки малой обеспеченности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, является объективной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ой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), то причины чрезвычайных ситуаций более низкого уровня имеют, в основном, субъективный характер, выражающихся в неадаптированности территорий, объектов, управленческих решений к существующей гидрологической обстановке и её ежегодными сезонными вариациями.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Помимо изложенных причин возникновения чрезвычайных ситуаций следует назвать еще несколько причин, непосредственно приводящих к формированию наводнений: неправильное осуществление паводкозащитных мер, ведущих к прорыву дамб обвалования, разрушению искусственных плотин, аварийным сработкам водохранилищ и др.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Обострение 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проблемы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наводнений в России связано также с прогрессирующим старением основных фондов водного хозяйства вследствие постоянного 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уменьшения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объемов капиталовложений в водную отрасль в течении последнего десятилетия. Ухудшение технического состояния напорных гидротехнических сооружений резко увеличивает риск их разрушений во время паводков и половодий. Дополнительными факторами риска антропогенного характера являются:</w:t>
      </w:r>
    </w:p>
    <w:p w:rsidR="00B32195" w:rsidRPr="008D4596" w:rsidRDefault="00C307A2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</w:t>
      </w:r>
      <w:r w:rsidR="00B32195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характера стока на хозяйственно освоенных и подвергнутых </w:t>
      </w:r>
      <w:r w:rsidR="00B32195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трансформациям водосборных территориях;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хозяйственное освоение паводкоопасных территорий в нижних бьефах гидроузлов и размещение там хозяйственных объектов и </w:t>
      </w:r>
      <w:r w:rsidR="00C307A2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жилья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стеснение живого сечения потока рек.</w:t>
      </w:r>
    </w:p>
    <w:p w:rsidR="00B32195" w:rsidRPr="008D4596" w:rsidRDefault="00B32195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Все это приводит к наводнениям с тяжелыми и катастрофическими последствиями, нанесению значительного ущерба объектам экономики, здоровью людей и к человеческим жертвам.</w:t>
      </w:r>
    </w:p>
    <w:p w:rsidR="00C307A2" w:rsidRPr="008D4596" w:rsidRDefault="00C307A2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основе </w:t>
      </w:r>
      <w:r w:rsidR="00E33A50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проведённого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исследования лежат результаты научной деятельности специалистов в области чрезвычайных ситуаций, связанными с наводнениями (методология исследования процесса прогнозирования, возникновения и защиты населения и территорий</w:t>
      </w:r>
      <w:r w:rsidR="00794B19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</w:t>
      </w:r>
      <w:proofErr w:type="spellStart"/>
      <w:r w:rsidR="00794B19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ВоробьеваЮ.Л</w:t>
      </w:r>
      <w:proofErr w:type="spellEnd"/>
      <w:r w:rsidR="00794B19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Фалеева М.И., Акимова В.А., Арефьевой Е.В., </w:t>
      </w:r>
      <w:proofErr w:type="spellStart"/>
      <w:r w:rsidR="00794B19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РазумановаВ.В</w:t>
      </w:r>
      <w:proofErr w:type="spellEnd"/>
      <w:r w:rsidR="00794B19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D83665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[</w:t>
      </w:r>
      <w:r w:rsidR="00D83665">
        <w:rPr>
          <w:rFonts w:ascii="Times New Roman" w:eastAsia="Calibri" w:hAnsi="Times New Roman" w:cs="Times New Roman"/>
          <w:sz w:val="24"/>
          <w:szCs w:val="24"/>
          <w:lang w:eastAsia="ru-RU"/>
        </w:rPr>
        <w:t>3,4</w:t>
      </w:r>
      <w:r w:rsidR="00D83665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:rsidR="006657E6" w:rsidRPr="00AA55FE" w:rsidRDefault="006657E6" w:rsidP="006657E6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Ханты-Мансийский 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авто</w:t>
      </w:r>
      <w:r w:rsid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номный</w:t>
      </w:r>
      <w:proofErr w:type="gramEnd"/>
      <w:r w:rsid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55FE">
        <w:rPr>
          <w:rFonts w:ascii="Times New Roman" w:eastAsia="Calibri" w:hAnsi="Times New Roman" w:cs="Times New Roman"/>
          <w:sz w:val="24"/>
          <w:szCs w:val="24"/>
          <w:lang w:eastAsia="ru-RU"/>
        </w:rPr>
        <w:t>округ-Югра</w:t>
      </w:r>
      <w:proofErr w:type="spellEnd"/>
      <w:r w:rsidR="00AA55FE">
        <w:rPr>
          <w:rFonts w:ascii="Times New Roman" w:eastAsia="Calibri" w:hAnsi="Times New Roman" w:cs="Times New Roman"/>
          <w:sz w:val="24"/>
          <w:szCs w:val="24"/>
          <w:lang w:eastAsia="ru-RU"/>
        </w:rPr>
        <w:t>, расположен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западной Сибири,</w:t>
      </w:r>
      <w:r w:rsidRPr="00AA55FE">
        <w:t xml:space="preserve"> 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Ханты-Мансийского автономного округа -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Югры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расположено 9 муниципальных районов и 13 городских округов, 9 муниципальных районов, 26 городских поселений, 58 сельских поселений с общей численностью населения 1 702 452 человека. </w:t>
      </w:r>
    </w:p>
    <w:p w:rsidR="006657E6" w:rsidRPr="00AA55FE" w:rsidRDefault="006657E6" w:rsidP="006657E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  <w:r w:rsidRPr="00AA55FE">
        <w:rPr>
          <w:rFonts w:ascii="Times New Roman" w:hAnsi="Times New Roman"/>
          <w:sz w:val="28"/>
          <w:szCs w:val="28"/>
        </w:rPr>
        <w:t xml:space="preserve"> </w:t>
      </w:r>
      <w:r w:rsidRPr="00AA55FE">
        <w:rPr>
          <w:rFonts w:ascii="Times New Roman" w:hAnsi="Times New Roman"/>
          <w:sz w:val="24"/>
          <w:szCs w:val="28"/>
        </w:rPr>
        <w:t xml:space="preserve">Ханты-Мансийский автономный округ - </w:t>
      </w:r>
      <w:proofErr w:type="spellStart"/>
      <w:r w:rsidRPr="00AA55FE">
        <w:rPr>
          <w:rFonts w:ascii="Times New Roman" w:hAnsi="Times New Roman"/>
          <w:sz w:val="24"/>
          <w:szCs w:val="28"/>
        </w:rPr>
        <w:t>Югра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занимает центральную часть </w:t>
      </w:r>
      <w:proofErr w:type="spellStart"/>
      <w:r w:rsidRPr="00AA55FE">
        <w:rPr>
          <w:rFonts w:ascii="Times New Roman" w:hAnsi="Times New Roman"/>
          <w:sz w:val="24"/>
          <w:szCs w:val="28"/>
        </w:rPr>
        <w:t>Западно-Сибирской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низменности, протянувшись с запада на восток, почти на </w:t>
      </w:r>
      <w:smartTag w:uri="urn:schemas-microsoft-com:office:smarttags" w:element="metricconverter">
        <w:smartTagPr>
          <w:attr w:name="ProductID" w:val="1400 км"/>
        </w:smartTagPr>
        <w:r w:rsidRPr="00AA55FE">
          <w:rPr>
            <w:rFonts w:ascii="Times New Roman" w:hAnsi="Times New Roman"/>
            <w:sz w:val="24"/>
            <w:szCs w:val="28"/>
          </w:rPr>
          <w:t>1400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 - от Уральского хребта до </w:t>
      </w:r>
      <w:proofErr w:type="spellStart"/>
      <w:r w:rsidRPr="00AA55FE">
        <w:rPr>
          <w:rFonts w:ascii="Times New Roman" w:hAnsi="Times New Roman"/>
          <w:sz w:val="24"/>
          <w:szCs w:val="28"/>
        </w:rPr>
        <w:t>Оско-Енисейского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водораздела. Территория Ханты-Мансийского автономного округа - </w:t>
      </w:r>
      <w:proofErr w:type="spellStart"/>
      <w:r w:rsidRPr="00AA55FE">
        <w:rPr>
          <w:rFonts w:ascii="Times New Roman" w:hAnsi="Times New Roman"/>
          <w:sz w:val="24"/>
          <w:szCs w:val="28"/>
        </w:rPr>
        <w:t>Югры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представляет собой обширную, слабо расчленённую равнину, с абсолютными отметками высот, редко достигающих </w:t>
      </w:r>
      <w:smartTag w:uri="urn:schemas-microsoft-com:office:smarttags" w:element="metricconverter">
        <w:smartTagPr>
          <w:attr w:name="ProductID" w:val="200 м"/>
        </w:smartTagPr>
        <w:r w:rsidRPr="00AA55FE">
          <w:rPr>
            <w:rFonts w:ascii="Times New Roman" w:hAnsi="Times New Roman"/>
            <w:sz w:val="24"/>
            <w:szCs w:val="28"/>
          </w:rPr>
          <w:t>200 м</w:t>
        </w:r>
      </w:smartTag>
      <w:r w:rsidRPr="00AA55FE">
        <w:rPr>
          <w:rFonts w:ascii="Times New Roman" w:hAnsi="Times New Roman"/>
          <w:sz w:val="24"/>
          <w:szCs w:val="28"/>
        </w:rPr>
        <w:t xml:space="preserve"> над уровнем моря. Климат Ханты-Мансийского автономного округа - </w:t>
      </w:r>
      <w:proofErr w:type="spellStart"/>
      <w:r w:rsidRPr="00AA55FE">
        <w:rPr>
          <w:rFonts w:ascii="Times New Roman" w:hAnsi="Times New Roman"/>
          <w:sz w:val="24"/>
          <w:szCs w:val="28"/>
        </w:rPr>
        <w:t>Югры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резко континентальный. Основную часть территории занимает сильно заболоченная тайга. Среди болот и лесов расположено более 25 тысяч озёр. Водный режим рек характеризуется растянутым весенне-летним половодьем. </w:t>
      </w:r>
    </w:p>
    <w:p w:rsidR="006657E6" w:rsidRPr="00AA55FE" w:rsidRDefault="006657E6" w:rsidP="006657E6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  <w:r w:rsidRPr="00AA55FE">
        <w:rPr>
          <w:rFonts w:ascii="Times New Roman" w:hAnsi="Times New Roman"/>
          <w:sz w:val="24"/>
          <w:szCs w:val="28"/>
        </w:rPr>
        <w:t xml:space="preserve">Территория Ханты-Мансийского автономного округа - </w:t>
      </w:r>
      <w:proofErr w:type="spellStart"/>
      <w:r w:rsidRPr="00AA55FE">
        <w:rPr>
          <w:rFonts w:ascii="Times New Roman" w:hAnsi="Times New Roman"/>
          <w:sz w:val="24"/>
          <w:szCs w:val="28"/>
        </w:rPr>
        <w:t>Югра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относится к зоне избыточного увлажнения. Годовое количество осадков в регионе колеблется всего от 400 до </w:t>
      </w:r>
      <w:smartTag w:uri="urn:schemas-microsoft-com:office:smarttags" w:element="metricconverter">
        <w:smartTagPr>
          <w:attr w:name="ProductID" w:val="620 мм"/>
        </w:smartTagPr>
        <w:r w:rsidRPr="00AA55FE">
          <w:rPr>
            <w:rFonts w:ascii="Times New Roman" w:hAnsi="Times New Roman"/>
            <w:sz w:val="24"/>
            <w:szCs w:val="28"/>
          </w:rPr>
          <w:t>620 мм</w:t>
        </w:r>
      </w:smartTag>
      <w:r w:rsidRPr="00AA55FE">
        <w:rPr>
          <w:rFonts w:ascii="Times New Roman" w:hAnsi="Times New Roman"/>
          <w:sz w:val="24"/>
          <w:szCs w:val="28"/>
        </w:rPr>
        <w:t xml:space="preserve">. Максимум осадков приходится на тёплое время года. Но, даже при таком, сравнительно небольшом количестве осадков величины испарения весьма несущественны, в результате чего, вся территория региона располагается в зоне избыточного увлажнения. </w:t>
      </w:r>
    </w:p>
    <w:p w:rsidR="006657E6" w:rsidRPr="00AA55FE" w:rsidRDefault="006657E6" w:rsidP="006657E6">
      <w:pPr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  <w:r w:rsidRPr="00AA55FE">
        <w:rPr>
          <w:rFonts w:ascii="Times New Roman" w:hAnsi="Times New Roman"/>
          <w:sz w:val="24"/>
          <w:szCs w:val="28"/>
        </w:rPr>
        <w:t xml:space="preserve">Гидрографическая сеть округа представлена огромным количеством водотоков, озер и болот, что </w:t>
      </w:r>
      <w:proofErr w:type="gramStart"/>
      <w:r w:rsidRPr="00AA55FE">
        <w:rPr>
          <w:rFonts w:ascii="Times New Roman" w:hAnsi="Times New Roman"/>
          <w:sz w:val="24"/>
          <w:szCs w:val="28"/>
        </w:rPr>
        <w:t>обусловлено</w:t>
      </w:r>
      <w:proofErr w:type="gramEnd"/>
      <w:r w:rsidRPr="00AA55FE">
        <w:rPr>
          <w:rFonts w:ascii="Times New Roman" w:hAnsi="Times New Roman"/>
          <w:sz w:val="24"/>
          <w:szCs w:val="28"/>
        </w:rPr>
        <w:t xml:space="preserve"> прежде всего избыточным увлажнением территории (годовая сумма осадков повсеместно преобладает над величиной испаряемости), исключительно равнинным характером рельефа, а также повсеместным распространением под </w:t>
      </w:r>
      <w:proofErr w:type="spellStart"/>
      <w:r w:rsidRPr="00AA55FE">
        <w:rPr>
          <w:rFonts w:ascii="Times New Roman" w:hAnsi="Times New Roman"/>
          <w:sz w:val="24"/>
          <w:szCs w:val="28"/>
        </w:rPr>
        <w:t>плащем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антропогеновых осадков глинистых отложений палеогена, препятствующих фильтрации атмосферных осадков в более глубокие слои земной коры.</w:t>
      </w:r>
    </w:p>
    <w:p w:rsidR="006657E6" w:rsidRPr="00AA55FE" w:rsidRDefault="006657E6" w:rsidP="00765865">
      <w:pPr>
        <w:suppressAutoHyphens/>
        <w:ind w:firstLine="709"/>
        <w:jc w:val="both"/>
        <w:rPr>
          <w:rFonts w:ascii="Times New Roman" w:hAnsi="Times New Roman"/>
          <w:sz w:val="24"/>
          <w:szCs w:val="28"/>
        </w:rPr>
      </w:pPr>
      <w:r w:rsidRPr="00AA55FE">
        <w:rPr>
          <w:rFonts w:ascii="Times New Roman" w:hAnsi="Times New Roman"/>
          <w:sz w:val="24"/>
          <w:szCs w:val="28"/>
        </w:rPr>
        <w:t>Речная сеть Ханты - Мансийского округа включает свыше 19,6 тыс. рек, ручьев и проток и принадлежит бассейну р. Оби - первой по площади бассейна и третьей по водоносности (после Енисея и Лены) реки России и одной из крупнейших рек земного шара.</w:t>
      </w:r>
      <w:r w:rsidR="00765865" w:rsidRPr="00AA55FE">
        <w:rPr>
          <w:rFonts w:ascii="Times New Roman" w:hAnsi="Times New Roman"/>
          <w:sz w:val="24"/>
          <w:szCs w:val="28"/>
        </w:rPr>
        <w:t xml:space="preserve"> </w:t>
      </w:r>
      <w:r w:rsidRPr="00AA55FE">
        <w:rPr>
          <w:rFonts w:ascii="Times New Roman" w:hAnsi="Times New Roman"/>
          <w:sz w:val="24"/>
          <w:szCs w:val="28"/>
        </w:rPr>
        <w:t>При этом наиболее характерной отличительной особенностью речной сети округа является сильная заболоченность территории (водосборы многих рек заболочены на 50 - 70% и более).</w:t>
      </w:r>
      <w:r w:rsidR="00765865" w:rsidRPr="00AA55FE">
        <w:rPr>
          <w:rFonts w:ascii="Times New Roman" w:hAnsi="Times New Roman"/>
          <w:sz w:val="24"/>
          <w:szCs w:val="28"/>
        </w:rPr>
        <w:t xml:space="preserve"> </w:t>
      </w:r>
      <w:r w:rsidRPr="00AA55FE">
        <w:rPr>
          <w:rFonts w:ascii="Times New Roman" w:hAnsi="Times New Roman"/>
          <w:sz w:val="24"/>
          <w:szCs w:val="28"/>
        </w:rPr>
        <w:t xml:space="preserve">Абсолютное большинство водотоков (16.765, или 85,5%) имеет длину менее </w:t>
      </w:r>
      <w:smartTag w:uri="urn:schemas-microsoft-com:office:smarttags" w:element="metricconverter">
        <w:smartTagPr>
          <w:attr w:name="ProductID" w:val="10 км"/>
        </w:smartTagPr>
        <w:r w:rsidRPr="00AA55FE">
          <w:rPr>
            <w:rFonts w:ascii="Times New Roman" w:hAnsi="Times New Roman"/>
            <w:sz w:val="24"/>
            <w:szCs w:val="28"/>
          </w:rPr>
          <w:t>10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 и лишь 2850 (14,5%) - более </w:t>
      </w:r>
      <w:smartTag w:uri="urn:schemas-microsoft-com:office:smarttags" w:element="metricconverter">
        <w:smartTagPr>
          <w:attr w:name="ProductID" w:val="10 км"/>
        </w:smartTagPr>
        <w:r w:rsidRPr="00AA55FE">
          <w:rPr>
            <w:rFonts w:ascii="Times New Roman" w:hAnsi="Times New Roman"/>
            <w:sz w:val="24"/>
            <w:szCs w:val="28"/>
          </w:rPr>
          <w:t>10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. Рек длиной свыше </w:t>
      </w:r>
      <w:smartTag w:uri="urn:schemas-microsoft-com:office:smarttags" w:element="metricconverter">
        <w:smartTagPr>
          <w:attr w:name="ProductID" w:val="100 км"/>
        </w:smartTagPr>
        <w:r w:rsidRPr="00AA55FE">
          <w:rPr>
            <w:rFonts w:ascii="Times New Roman" w:hAnsi="Times New Roman"/>
            <w:sz w:val="24"/>
            <w:szCs w:val="28"/>
          </w:rPr>
          <w:t>100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 насчитывается 177, в том числе средних по длине (от 100 до </w:t>
      </w:r>
      <w:smartTag w:uri="urn:schemas-microsoft-com:office:smarttags" w:element="metricconverter">
        <w:smartTagPr>
          <w:attr w:name="ProductID" w:val="500 км"/>
        </w:smartTagPr>
        <w:r w:rsidRPr="00AA55FE">
          <w:rPr>
            <w:rFonts w:ascii="Times New Roman" w:hAnsi="Times New Roman"/>
            <w:sz w:val="24"/>
            <w:szCs w:val="28"/>
          </w:rPr>
          <w:t>500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) - 163 и больших (длиной свыше </w:t>
      </w:r>
      <w:smartTag w:uri="urn:schemas-microsoft-com:office:smarttags" w:element="metricconverter">
        <w:smartTagPr>
          <w:attr w:name="ProductID" w:val="500 км"/>
        </w:smartTagPr>
        <w:r w:rsidRPr="00AA55FE">
          <w:rPr>
            <w:rFonts w:ascii="Times New Roman" w:hAnsi="Times New Roman"/>
            <w:sz w:val="24"/>
            <w:szCs w:val="28"/>
          </w:rPr>
          <w:t>500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) - 14. Из больших рек четыре реки имеют длину более </w:t>
      </w:r>
      <w:smartTag w:uri="urn:schemas-microsoft-com:office:smarttags" w:element="metricconverter">
        <w:smartTagPr>
          <w:attr w:name="ProductID" w:val="1000 км"/>
        </w:smartTagPr>
        <w:r w:rsidRPr="00AA55FE">
          <w:rPr>
            <w:rFonts w:ascii="Times New Roman" w:hAnsi="Times New Roman"/>
            <w:sz w:val="24"/>
            <w:szCs w:val="28"/>
          </w:rPr>
          <w:t>1000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 (Обь, Иртыш, </w:t>
      </w:r>
      <w:proofErr w:type="spellStart"/>
      <w:r w:rsidRPr="00AA55FE">
        <w:rPr>
          <w:rFonts w:ascii="Times New Roman" w:hAnsi="Times New Roman"/>
          <w:sz w:val="24"/>
          <w:szCs w:val="28"/>
        </w:rPr>
        <w:t>Конда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и Большой </w:t>
      </w:r>
      <w:proofErr w:type="spellStart"/>
      <w:r w:rsidRPr="00AA55FE">
        <w:rPr>
          <w:rFonts w:ascii="Times New Roman" w:hAnsi="Times New Roman"/>
          <w:sz w:val="24"/>
          <w:szCs w:val="28"/>
        </w:rPr>
        <w:t>Юган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) </w:t>
      </w:r>
      <w:r w:rsidRPr="00AA55FE">
        <w:rPr>
          <w:rFonts w:ascii="Times New Roman" w:hAnsi="Times New Roman"/>
          <w:sz w:val="24"/>
          <w:szCs w:val="28"/>
        </w:rPr>
        <w:lastRenderedPageBreak/>
        <w:t xml:space="preserve">и 10 - свыше </w:t>
      </w:r>
      <w:smartTag w:uri="urn:schemas-microsoft-com:office:smarttags" w:element="metricconverter">
        <w:smartTagPr>
          <w:attr w:name="ProductID" w:val="500 км"/>
        </w:smartTagPr>
        <w:r w:rsidRPr="00AA55FE">
          <w:rPr>
            <w:rFonts w:ascii="Times New Roman" w:hAnsi="Times New Roman"/>
            <w:sz w:val="24"/>
            <w:szCs w:val="28"/>
          </w:rPr>
          <w:t>500 км</w:t>
        </w:r>
      </w:smartTag>
      <w:r w:rsidRPr="00AA55FE">
        <w:rPr>
          <w:rFonts w:ascii="Times New Roman" w:hAnsi="Times New Roman"/>
          <w:sz w:val="24"/>
          <w:szCs w:val="28"/>
        </w:rPr>
        <w:t xml:space="preserve"> (Северная Сосьва, </w:t>
      </w:r>
      <w:proofErr w:type="spellStart"/>
      <w:r w:rsidRPr="00AA55FE">
        <w:rPr>
          <w:rFonts w:ascii="Times New Roman" w:hAnsi="Times New Roman"/>
          <w:sz w:val="24"/>
          <w:szCs w:val="28"/>
        </w:rPr>
        <w:t>Казым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Мулымья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Большой Тап, Кума, </w:t>
      </w:r>
      <w:proofErr w:type="spellStart"/>
      <w:r w:rsidRPr="00AA55FE">
        <w:rPr>
          <w:rFonts w:ascii="Times New Roman" w:hAnsi="Times New Roman"/>
          <w:sz w:val="24"/>
          <w:szCs w:val="28"/>
        </w:rPr>
        <w:t>Вах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Тромъёган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Аган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Малый </w:t>
      </w:r>
      <w:proofErr w:type="spellStart"/>
      <w:r w:rsidRPr="00AA55FE">
        <w:rPr>
          <w:rFonts w:ascii="Times New Roman" w:hAnsi="Times New Roman"/>
          <w:sz w:val="24"/>
          <w:szCs w:val="28"/>
        </w:rPr>
        <w:t>Юган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и Большой </w:t>
      </w:r>
      <w:proofErr w:type="spellStart"/>
      <w:r w:rsidRPr="00AA55FE">
        <w:rPr>
          <w:rFonts w:ascii="Times New Roman" w:hAnsi="Times New Roman"/>
          <w:sz w:val="24"/>
          <w:szCs w:val="28"/>
        </w:rPr>
        <w:t>Салым</w:t>
      </w:r>
      <w:proofErr w:type="spellEnd"/>
      <w:r w:rsidRPr="00AA55FE">
        <w:rPr>
          <w:rFonts w:ascii="Times New Roman" w:hAnsi="Times New Roman"/>
          <w:sz w:val="24"/>
          <w:szCs w:val="28"/>
        </w:rPr>
        <w:t>).</w:t>
      </w:r>
      <w:r w:rsidR="00765865" w:rsidRPr="00AA55FE">
        <w:rPr>
          <w:rFonts w:ascii="Times New Roman" w:hAnsi="Times New Roman"/>
          <w:sz w:val="24"/>
          <w:szCs w:val="28"/>
        </w:rPr>
        <w:t xml:space="preserve"> </w:t>
      </w:r>
      <w:r w:rsidRPr="00AA55FE">
        <w:rPr>
          <w:rFonts w:ascii="Times New Roman" w:hAnsi="Times New Roman"/>
          <w:sz w:val="24"/>
          <w:szCs w:val="28"/>
        </w:rPr>
        <w:t xml:space="preserve">Крупнейшими по водоносности являются транзитная река Обь и р. Иртыш. За ними следу­ют ещё 12 крупных рек, сток которых формируется непосредственно в пределах Ханты - Мансийского округа (в порядке убывания водоносности): Северная Сосьва, </w:t>
      </w:r>
      <w:proofErr w:type="spellStart"/>
      <w:r w:rsidRPr="00AA55FE">
        <w:rPr>
          <w:rFonts w:ascii="Times New Roman" w:hAnsi="Times New Roman"/>
          <w:sz w:val="24"/>
          <w:szCs w:val="28"/>
        </w:rPr>
        <w:t>Вах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Тромъёган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Конда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Казым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Лялин, </w:t>
      </w:r>
      <w:proofErr w:type="spellStart"/>
      <w:r w:rsidRPr="00AA55FE">
        <w:rPr>
          <w:rFonts w:ascii="Times New Roman" w:hAnsi="Times New Roman"/>
          <w:sz w:val="24"/>
          <w:szCs w:val="28"/>
        </w:rPr>
        <w:t>Аган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Большой </w:t>
      </w:r>
      <w:proofErr w:type="spellStart"/>
      <w:r w:rsidRPr="00AA55FE">
        <w:rPr>
          <w:rFonts w:ascii="Times New Roman" w:hAnsi="Times New Roman"/>
          <w:sz w:val="24"/>
          <w:szCs w:val="28"/>
        </w:rPr>
        <w:t>Юган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Хулга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Сабун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AA55FE">
        <w:rPr>
          <w:rFonts w:ascii="Times New Roman" w:hAnsi="Times New Roman"/>
          <w:sz w:val="24"/>
          <w:szCs w:val="28"/>
        </w:rPr>
        <w:t>Лямин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и </w:t>
      </w:r>
      <w:proofErr w:type="spellStart"/>
      <w:r w:rsidRPr="00AA55FE">
        <w:rPr>
          <w:rFonts w:ascii="Times New Roman" w:hAnsi="Times New Roman"/>
          <w:sz w:val="24"/>
          <w:szCs w:val="28"/>
        </w:rPr>
        <w:t>Назым</w:t>
      </w:r>
      <w:proofErr w:type="spellEnd"/>
      <w:r w:rsidRPr="00AA55FE">
        <w:rPr>
          <w:rFonts w:ascii="Times New Roman" w:hAnsi="Times New Roman"/>
          <w:sz w:val="24"/>
          <w:szCs w:val="28"/>
        </w:rPr>
        <w:t xml:space="preserve"> (средние годовые расходы воды их более 100 куб. </w:t>
      </w:r>
      <w:proofErr w:type="gramStart"/>
      <w:r w:rsidRPr="00AA55FE">
        <w:rPr>
          <w:rFonts w:ascii="Times New Roman" w:hAnsi="Times New Roman"/>
          <w:sz w:val="24"/>
          <w:szCs w:val="28"/>
        </w:rPr>
        <w:t>м</w:t>
      </w:r>
      <w:proofErr w:type="gramEnd"/>
      <w:r w:rsidRPr="00AA55FE">
        <w:rPr>
          <w:rFonts w:ascii="Times New Roman" w:hAnsi="Times New Roman"/>
          <w:sz w:val="24"/>
          <w:szCs w:val="28"/>
        </w:rPr>
        <w:t>/с).</w:t>
      </w:r>
      <w:r w:rsidR="00765865" w:rsidRPr="00AA55FE">
        <w:rPr>
          <w:rFonts w:ascii="Times New Roman" w:hAnsi="Times New Roman"/>
          <w:sz w:val="24"/>
          <w:szCs w:val="28"/>
        </w:rPr>
        <w:t xml:space="preserve"> </w:t>
      </w:r>
      <w:r w:rsidRPr="00AA55FE">
        <w:rPr>
          <w:rFonts w:ascii="Times New Roman" w:hAnsi="Times New Roman"/>
          <w:sz w:val="24"/>
          <w:szCs w:val="28"/>
        </w:rPr>
        <w:t>Реки округа имеют широкие долины, двусторонние поймы и очень малые уклоны. Почти все они  обычно изобилуют протоками, рукавами и озерами. Только у немногих рек, берущих начало на склонах Уральских гор, речные долины узкие, ясно выражены, поймы неширокие, русла глубоко врезаны, уклоны значительны.</w:t>
      </w:r>
      <w:r w:rsidR="00765865" w:rsidRPr="00AA55FE">
        <w:rPr>
          <w:rFonts w:ascii="Times New Roman" w:hAnsi="Times New Roman"/>
          <w:sz w:val="24"/>
          <w:szCs w:val="28"/>
        </w:rPr>
        <w:t xml:space="preserve"> </w:t>
      </w:r>
      <w:r w:rsidRPr="00AA55FE">
        <w:rPr>
          <w:rFonts w:ascii="Times New Roman" w:hAnsi="Times New Roman"/>
          <w:sz w:val="24"/>
          <w:szCs w:val="28"/>
        </w:rPr>
        <w:t>Летние паводки, так же как и весеннее половодье, сильно распластаны. Осенние паводки бывают ежегодно, но отличаются небольшими подъемами уровней.</w:t>
      </w:r>
    </w:p>
    <w:p w:rsidR="00DF2736" w:rsidRDefault="006C038A" w:rsidP="00DF273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Ханты-Мансийский </w:t>
      </w:r>
      <w:proofErr w:type="gramStart"/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автономный</w:t>
      </w:r>
      <w:proofErr w:type="gramEnd"/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округ-Югра</w:t>
      </w:r>
      <w:proofErr w:type="spellEnd"/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, расположенный в западной Сибири, является одним из регионов России, подверженных сезонным паводкам весенне-летнего периода. Затопление территорий округа в этот период часто приводит к чрезвычайной ситуации, требующей мобилизации ресурсов и принятия неотложных мер для защиты населения и инфраструктуры от негативных последствий. Поэтому з</w:t>
      </w:r>
      <w:r w:rsidR="00822B08"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атопление территорий в результате весенне-летнего половодья является одной из наиболее актуальных проблем на территории Ханты-Мансийского автономного округа-Югры. С каждым годом уровень риска увеличивается, что требует комплексного и своевременного решения данной проблемы.</w:t>
      </w:r>
    </w:p>
    <w:p w:rsidR="00DF2736" w:rsidRPr="008D4596" w:rsidRDefault="00DF2736" w:rsidP="00DF273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основных причин затоплений территорий в Ханты-Мансийском автономном округе-Югра является повышение уровня рек и ручьев в результате таяния снега и ливней.</w:t>
      </w:r>
      <w:proofErr w:type="gramEnd"/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Другим фактором, способствующим затоплениям, является непредвиденное повышение уровня подземных вод[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5-18</w:t>
      </w: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].</w:t>
      </w:r>
    </w:p>
    <w:p w:rsidR="00DF2736" w:rsidRPr="008D4596" w:rsidRDefault="00DF2736" w:rsidP="00DF273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4596">
        <w:rPr>
          <w:rFonts w:ascii="Times New Roman" w:eastAsia="Calibri" w:hAnsi="Times New Roman" w:cs="Times New Roman"/>
          <w:sz w:val="24"/>
          <w:szCs w:val="24"/>
          <w:lang w:eastAsia="ru-RU"/>
        </w:rPr>
        <w:t>Затопление территорий приводит к серьезным последствиям для населения и инфраструктуры. Обрушение домов, уничтожение сельскохозяйственных угодий, прерывание дорожных и железнодорожных сообщений - лишь некоторые из последствий, которые несет за собой весенне-летнее половодье.</w:t>
      </w:r>
    </w:p>
    <w:p w:rsidR="00765865" w:rsidRPr="00AA55FE" w:rsidRDefault="00765865" w:rsidP="00765865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hAnsi="Times New Roman"/>
          <w:sz w:val="24"/>
        </w:rPr>
        <w:t xml:space="preserve">На территории Ханты-Мансийского автономного округа - </w:t>
      </w:r>
      <w:proofErr w:type="spellStart"/>
      <w:r w:rsidRPr="00AA55FE">
        <w:rPr>
          <w:rFonts w:ascii="Times New Roman" w:hAnsi="Times New Roman"/>
          <w:sz w:val="24"/>
        </w:rPr>
        <w:t>Югры</w:t>
      </w:r>
      <w:proofErr w:type="spellEnd"/>
      <w:r w:rsidRPr="00AA55FE">
        <w:rPr>
          <w:rFonts w:ascii="Times New Roman" w:hAnsi="Times New Roman"/>
          <w:sz w:val="24"/>
        </w:rPr>
        <w:t xml:space="preserve"> существу</w:t>
      </w:r>
      <w:r w:rsidR="00AB402C" w:rsidRPr="00AA55FE">
        <w:rPr>
          <w:rFonts w:ascii="Times New Roman" w:hAnsi="Times New Roman"/>
          <w:sz w:val="24"/>
        </w:rPr>
        <w:t>ющий</w:t>
      </w:r>
      <w:r w:rsidRPr="00AA55FE">
        <w:rPr>
          <w:rFonts w:ascii="Times New Roman" w:hAnsi="Times New Roman"/>
          <w:sz w:val="24"/>
        </w:rPr>
        <w:t xml:space="preserve"> риск </w:t>
      </w:r>
      <w:r w:rsidR="00DF2736" w:rsidRPr="00AA55FE">
        <w:rPr>
          <w:rFonts w:ascii="Times New Roman" w:hAnsi="Times New Roman"/>
          <w:sz w:val="24"/>
        </w:rPr>
        <w:t>з</w:t>
      </w:r>
      <w:r w:rsidRPr="00AA55FE">
        <w:rPr>
          <w:rFonts w:ascii="Times New Roman" w:hAnsi="Times New Roman"/>
          <w:sz w:val="24"/>
        </w:rPr>
        <w:t xml:space="preserve">а последние 10 лет чрезвычайные ситуации, </w:t>
      </w:r>
      <w:r w:rsidR="00AB402C" w:rsidRPr="00AA55FE">
        <w:rPr>
          <w:rFonts w:ascii="Times New Roman" w:hAnsi="Times New Roman"/>
          <w:sz w:val="24"/>
        </w:rPr>
        <w:t>вызван</w:t>
      </w:r>
      <w:r w:rsidRPr="00AA55FE">
        <w:rPr>
          <w:rFonts w:ascii="Times New Roman" w:hAnsi="Times New Roman"/>
          <w:sz w:val="24"/>
        </w:rPr>
        <w:t xml:space="preserve"> опасными гидрологическими явлениями</w:t>
      </w:r>
      <w:r w:rsidR="00AB402C" w:rsidRPr="00AA55FE">
        <w:rPr>
          <w:rFonts w:ascii="Times New Roman" w:hAnsi="Times New Roman"/>
          <w:sz w:val="24"/>
        </w:rPr>
        <w:t xml:space="preserve">, </w:t>
      </w:r>
      <w:r w:rsidRPr="00AA55FE">
        <w:rPr>
          <w:rFonts w:ascii="Times New Roman" w:hAnsi="Times New Roman"/>
          <w:spacing w:val="-5"/>
          <w:sz w:val="24"/>
        </w:rPr>
        <w:t>зафиксированы подтопления 64 населённых пунктов.</w:t>
      </w:r>
    </w:p>
    <w:p w:rsidR="00AB402C" w:rsidRPr="00AA55FE" w:rsidRDefault="00AB402C" w:rsidP="00AB402C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765865" w:rsidRDefault="00AB402C" w:rsidP="00AB402C">
      <w:pPr>
        <w:spacing w:after="0" w:line="240" w:lineRule="auto"/>
        <w:ind w:firstLine="709"/>
        <w:rPr>
          <w:rFonts w:ascii="Times New Roman" w:hAnsi="Times New Roman"/>
          <w:sz w:val="24"/>
        </w:rPr>
      </w:pPr>
      <w:r w:rsidRPr="00AA55FE">
        <w:rPr>
          <w:rFonts w:ascii="Times New Roman" w:hAnsi="Times New Roman"/>
          <w:sz w:val="24"/>
        </w:rPr>
        <w:t xml:space="preserve">Таблица 1. </w:t>
      </w:r>
      <w:proofErr w:type="gramStart"/>
      <w:r w:rsidR="00765865" w:rsidRPr="00AA55FE">
        <w:rPr>
          <w:rFonts w:ascii="Times New Roman" w:hAnsi="Times New Roman"/>
          <w:sz w:val="24"/>
        </w:rPr>
        <w:t xml:space="preserve">Сведения о подтоплениях, зафиксированных в период прохождения весенне-летнего половодья на территории </w:t>
      </w:r>
      <w:proofErr w:type="spellStart"/>
      <w:r w:rsidR="00765865" w:rsidRPr="00AA55FE">
        <w:rPr>
          <w:rFonts w:ascii="Times New Roman" w:hAnsi="Times New Roman"/>
          <w:sz w:val="24"/>
        </w:rPr>
        <w:t>Югры</w:t>
      </w:r>
      <w:proofErr w:type="spellEnd"/>
      <w:r w:rsidR="00765865" w:rsidRPr="00AA55FE">
        <w:rPr>
          <w:rFonts w:ascii="Times New Roman" w:hAnsi="Times New Roman"/>
          <w:sz w:val="24"/>
        </w:rPr>
        <w:t xml:space="preserve"> за последние 10 лет</w:t>
      </w:r>
      <w:proofErr w:type="gramEnd"/>
    </w:p>
    <w:p w:rsidR="00AB402C" w:rsidRDefault="00AB402C" w:rsidP="00765865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520" w:type="dxa"/>
        <w:tblInd w:w="86" w:type="dxa"/>
        <w:tblLayout w:type="fixed"/>
        <w:tblLook w:val="04A0"/>
      </w:tblPr>
      <w:tblGrid>
        <w:gridCol w:w="540"/>
        <w:gridCol w:w="1183"/>
        <w:gridCol w:w="1276"/>
        <w:gridCol w:w="1134"/>
        <w:gridCol w:w="567"/>
        <w:gridCol w:w="567"/>
        <w:gridCol w:w="425"/>
        <w:gridCol w:w="142"/>
        <w:gridCol w:w="567"/>
        <w:gridCol w:w="425"/>
        <w:gridCol w:w="283"/>
        <w:gridCol w:w="695"/>
        <w:gridCol w:w="15"/>
        <w:gridCol w:w="850"/>
        <w:gridCol w:w="851"/>
      </w:tblGrid>
      <w:tr w:rsidR="00AB402C" w:rsidRPr="00AA55FE" w:rsidTr="00AA55FE">
        <w:trPr>
          <w:trHeight w:val="315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A55F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A55FE">
              <w:rPr>
                <w:sz w:val="16"/>
                <w:szCs w:val="16"/>
              </w:rPr>
              <w:t>/</w:t>
            </w:r>
            <w:proofErr w:type="spellStart"/>
            <w:r w:rsidRPr="00AA55F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Наименование реки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Зона подтопления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Дата начала подтопления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Дата полного схода воды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Уровень начала подтопления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Макс. уровень воды в реке за период подтопления</w:t>
            </w:r>
          </w:p>
        </w:tc>
      </w:tr>
      <w:tr w:rsidR="00AB402C" w:rsidRPr="00AA55FE" w:rsidTr="00AA55FE">
        <w:trPr>
          <w:trHeight w:val="293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Муниципальный район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</w:tr>
      <w:tr w:rsidR="00AB402C" w:rsidRPr="00AA55FE" w:rsidTr="00AA55FE">
        <w:trPr>
          <w:trHeight w:val="1136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приусадебных участков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Домов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населения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</w:tr>
      <w:tr w:rsidR="00765865" w:rsidRPr="00AA55FE" w:rsidTr="00AB402C">
        <w:trPr>
          <w:trHeight w:val="300"/>
        </w:trPr>
        <w:tc>
          <w:tcPr>
            <w:tcW w:w="95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865" w:rsidRPr="00AA55FE" w:rsidRDefault="00765865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2014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.Т</w:t>
            </w:r>
            <w:proofErr w:type="gramEnd"/>
            <w:r w:rsidRPr="00AA55FE">
              <w:rPr>
                <w:sz w:val="16"/>
                <w:szCs w:val="16"/>
              </w:rPr>
              <w:t>ром-Аган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Сургутсий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Русскинская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25.05.2014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31.05.2014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471</w:t>
            </w:r>
          </w:p>
        </w:tc>
      </w:tr>
      <w:tr w:rsidR="00AB402C" w:rsidRPr="00AA55FE" w:rsidTr="00AA55FE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25.05.2014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31.05.2014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Белоярский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.П</w:t>
            </w:r>
            <w:proofErr w:type="gramEnd"/>
            <w:r w:rsidRPr="00AA55FE">
              <w:rPr>
                <w:sz w:val="16"/>
                <w:szCs w:val="16"/>
              </w:rPr>
              <w:t>ашторы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946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Белоярский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.Т</w:t>
            </w:r>
            <w:proofErr w:type="gramEnd"/>
            <w:r w:rsidRPr="00AA55FE">
              <w:rPr>
                <w:sz w:val="16"/>
                <w:szCs w:val="16"/>
              </w:rPr>
              <w:t>угияны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938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946</w:t>
            </w:r>
          </w:p>
        </w:tc>
      </w:tr>
      <w:tr w:rsidR="00AB402C" w:rsidRPr="00AA55FE" w:rsidTr="00AA55FE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.П</w:t>
            </w:r>
            <w:proofErr w:type="gramEnd"/>
            <w:r w:rsidRPr="00AA55FE">
              <w:rPr>
                <w:sz w:val="16"/>
                <w:szCs w:val="16"/>
              </w:rPr>
              <w:t>угоры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732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.У</w:t>
            </w:r>
            <w:proofErr w:type="gramEnd"/>
            <w:r w:rsidRPr="00AA55FE">
              <w:rPr>
                <w:sz w:val="16"/>
                <w:szCs w:val="16"/>
              </w:rPr>
              <w:t>стрем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732</w:t>
            </w:r>
          </w:p>
        </w:tc>
      </w:tr>
      <w:tr w:rsidR="00AB402C" w:rsidRPr="00AA55FE" w:rsidTr="00AA55FE">
        <w:trPr>
          <w:trHeight w:val="51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п</w:t>
            </w:r>
            <w:proofErr w:type="gramStart"/>
            <w:r w:rsidRPr="00AA55FE">
              <w:rPr>
                <w:sz w:val="16"/>
                <w:szCs w:val="16"/>
              </w:rPr>
              <w:t>.Д</w:t>
            </w:r>
            <w:proofErr w:type="gramEnd"/>
            <w:r w:rsidRPr="00AA55FE">
              <w:rPr>
                <w:sz w:val="16"/>
                <w:szCs w:val="16"/>
              </w:rPr>
              <w:t>емино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10.08.2015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732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Малая Обь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п</w:t>
            </w:r>
            <w:proofErr w:type="gramStart"/>
            <w:r w:rsidRPr="00AA55FE">
              <w:rPr>
                <w:sz w:val="16"/>
                <w:szCs w:val="16"/>
              </w:rPr>
              <w:t>.Т</w:t>
            </w:r>
            <w:proofErr w:type="gramEnd"/>
            <w:r w:rsidRPr="00AA55FE">
              <w:rPr>
                <w:sz w:val="16"/>
                <w:szCs w:val="16"/>
              </w:rPr>
              <w:t>еги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10.08.2015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732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п. </w:t>
            </w:r>
            <w:proofErr w:type="spellStart"/>
            <w:r w:rsidRPr="00AA55FE">
              <w:rPr>
                <w:sz w:val="16"/>
                <w:szCs w:val="16"/>
              </w:rPr>
              <w:t>Березово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10.08.2015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732</w:t>
            </w:r>
          </w:p>
        </w:tc>
      </w:tr>
      <w:tr w:rsidR="00AB402C" w:rsidRPr="00AA55FE" w:rsidTr="00AA55FE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пр. </w:t>
            </w:r>
            <w:proofErr w:type="spellStart"/>
            <w:r w:rsidRPr="00AA55FE">
              <w:rPr>
                <w:sz w:val="16"/>
                <w:szCs w:val="16"/>
              </w:rPr>
              <w:t>Лангепас</w:t>
            </w:r>
            <w:proofErr w:type="spellEnd"/>
            <w:r w:rsidRPr="00AA55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.Л</w:t>
            </w:r>
            <w:proofErr w:type="gramEnd"/>
            <w:r w:rsidRPr="00AA55FE">
              <w:rPr>
                <w:sz w:val="16"/>
                <w:szCs w:val="16"/>
              </w:rPr>
              <w:t>ангепас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628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.М</w:t>
            </w:r>
            <w:proofErr w:type="gramEnd"/>
            <w:r w:rsidRPr="00AA55FE">
              <w:rPr>
                <w:sz w:val="16"/>
                <w:szCs w:val="16"/>
              </w:rPr>
              <w:t>егион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05.06.2015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1061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.Н</w:t>
            </w:r>
            <w:proofErr w:type="gramEnd"/>
            <w:r w:rsidRPr="00AA55FE">
              <w:rPr>
                <w:sz w:val="16"/>
                <w:szCs w:val="16"/>
              </w:rPr>
              <w:t>ижневартовск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389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227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779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30.05.2015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1061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Былино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30.05.2015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1061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Вампугол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1061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Соснино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29.05.2015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1061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д. Вата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25.06.2015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1061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с. </w:t>
            </w:r>
            <w:proofErr w:type="spellStart"/>
            <w:r w:rsidRPr="00AA55FE">
              <w:rPr>
                <w:sz w:val="16"/>
                <w:szCs w:val="16"/>
              </w:rPr>
              <w:t>Корлики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24.05.2015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02.06.2015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642</w:t>
            </w:r>
          </w:p>
        </w:tc>
      </w:tr>
      <w:tr w:rsidR="00AB402C" w:rsidRPr="00AA55FE" w:rsidTr="00AA55FE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1194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490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1354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24.05.2015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Сургутсий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с. </w:t>
            </w:r>
            <w:proofErr w:type="spellStart"/>
            <w:r w:rsidRPr="00AA55FE">
              <w:rPr>
                <w:sz w:val="16"/>
                <w:szCs w:val="16"/>
              </w:rPr>
              <w:t>Сытомино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288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995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Сургутсий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с. </w:t>
            </w:r>
            <w:proofErr w:type="spellStart"/>
            <w:r w:rsidRPr="00AA55FE">
              <w:rPr>
                <w:sz w:val="16"/>
                <w:szCs w:val="16"/>
              </w:rPr>
              <w:t>Локосово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05.06.2015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829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Сургутсий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Верхне-Мысовая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829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Сургутсий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ургут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18.07.2015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829</w:t>
            </w:r>
          </w:p>
        </w:tc>
      </w:tr>
      <w:tr w:rsidR="00AB402C" w:rsidRPr="00AA55FE" w:rsidTr="00AA55FE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146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517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05.06.2015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.И</w:t>
            </w:r>
            <w:proofErr w:type="gramEnd"/>
            <w:r w:rsidRPr="00AA55FE">
              <w:rPr>
                <w:sz w:val="16"/>
                <w:szCs w:val="16"/>
              </w:rPr>
              <w:t>ртыш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Ханты-Мансийский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Зенково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1151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1193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.Н</w:t>
            </w:r>
            <w:proofErr w:type="gramEnd"/>
            <w:r w:rsidRPr="00AA55FE">
              <w:rPr>
                <w:sz w:val="16"/>
                <w:szCs w:val="16"/>
              </w:rPr>
              <w:t>азым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Ханты-Мансийский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Кышик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619</w:t>
            </w:r>
          </w:p>
        </w:tc>
      </w:tr>
      <w:tr w:rsidR="00AB402C" w:rsidRPr="00AA55FE" w:rsidTr="00AA55FE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Юганская Обь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п. Юганская Обь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74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982</w:t>
            </w:r>
          </w:p>
        </w:tc>
      </w:tr>
      <w:tr w:rsidR="00AB402C" w:rsidRPr="00AA55FE" w:rsidTr="00AA55FE">
        <w:trPr>
          <w:trHeight w:val="51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Большой </w:t>
            </w:r>
            <w:proofErr w:type="spellStart"/>
            <w:r w:rsidRPr="00AA55FE">
              <w:rPr>
                <w:sz w:val="16"/>
                <w:szCs w:val="16"/>
              </w:rPr>
              <w:t>Салым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п. </w:t>
            </w:r>
            <w:proofErr w:type="spellStart"/>
            <w:r w:rsidRPr="00AA55FE">
              <w:rPr>
                <w:sz w:val="16"/>
                <w:szCs w:val="16"/>
              </w:rPr>
              <w:t>Лемпино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04.07.2015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782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Вандрас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п. </w:t>
            </w:r>
            <w:proofErr w:type="spellStart"/>
            <w:r w:rsidRPr="00AA55FE">
              <w:rPr>
                <w:sz w:val="16"/>
                <w:szCs w:val="16"/>
              </w:rPr>
              <w:t>Салым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07.05.2015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19.05.2015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738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пгт</w:t>
            </w:r>
            <w:proofErr w:type="spellEnd"/>
            <w:r w:rsidRPr="00AA55FE">
              <w:rPr>
                <w:sz w:val="16"/>
                <w:szCs w:val="16"/>
              </w:rPr>
              <w:t xml:space="preserve">. </w:t>
            </w:r>
            <w:proofErr w:type="spellStart"/>
            <w:r w:rsidRPr="00AA55FE">
              <w:rPr>
                <w:sz w:val="16"/>
                <w:szCs w:val="16"/>
              </w:rPr>
              <w:t>Пойковский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21.06.2015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982</w:t>
            </w:r>
          </w:p>
        </w:tc>
      </w:tr>
      <w:tr w:rsidR="00AB402C" w:rsidRPr="00AA55FE" w:rsidTr="00AA55FE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27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Юганская Обь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.Н</w:t>
            </w:r>
            <w:proofErr w:type="gramEnd"/>
            <w:r w:rsidRPr="00AA55FE">
              <w:rPr>
                <w:sz w:val="16"/>
                <w:szCs w:val="16"/>
              </w:rPr>
              <w:t>ефтеюганск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329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18.06.2015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24.07.2015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982</w:t>
            </w:r>
          </w:p>
        </w:tc>
      </w:tr>
      <w:tr w:rsidR="00AB402C" w:rsidRPr="00AA55FE" w:rsidTr="00AA55FE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477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07.05.2015</w:t>
            </w:r>
          </w:p>
        </w:tc>
        <w:tc>
          <w:tcPr>
            <w:tcW w:w="9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02.08.2015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765865" w:rsidRPr="00AA55FE" w:rsidTr="00AB402C">
        <w:trPr>
          <w:trHeight w:val="300"/>
        </w:trPr>
        <w:tc>
          <w:tcPr>
            <w:tcW w:w="95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865" w:rsidRPr="00AA55FE" w:rsidRDefault="00765865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2016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.И</w:t>
            </w:r>
            <w:proofErr w:type="gramEnd"/>
            <w:r w:rsidRPr="00AA55FE">
              <w:rPr>
                <w:sz w:val="16"/>
                <w:szCs w:val="16"/>
              </w:rPr>
              <w:t>ртыш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Ханты-Мансийский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Батово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06.06.2016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06.07.2016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985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996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06.06.2016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06.07.2016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29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Вандрас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п. </w:t>
            </w:r>
            <w:proofErr w:type="spellStart"/>
            <w:r w:rsidRPr="00AA55FE">
              <w:rPr>
                <w:sz w:val="16"/>
                <w:szCs w:val="16"/>
              </w:rPr>
              <w:t>Салым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06.05.2016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17.05.2016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705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715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06.05.2016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17.05.2016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Хурумпауль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06.06.2017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1226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31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д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аранпауль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06.06.2017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1226</w:t>
            </w:r>
          </w:p>
        </w:tc>
      </w:tr>
      <w:tr w:rsidR="00AB402C" w:rsidRPr="00AA55FE" w:rsidTr="00AB402C">
        <w:trPr>
          <w:trHeight w:val="51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Хулимсунт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08.06.2017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610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675</w:t>
            </w:r>
          </w:p>
        </w:tc>
      </w:tr>
      <w:tr w:rsidR="00AB402C" w:rsidRPr="00AA55FE" w:rsidTr="00AB402C">
        <w:trPr>
          <w:trHeight w:val="51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Няксимволь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08.06.2017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610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675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06.06.2017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34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Юганская Обь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п. Юганская Обь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03.07.2017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10.07.2017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851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854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93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03.07.2017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10.07.2017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765865" w:rsidRPr="00AA55FE" w:rsidTr="00AB402C">
        <w:trPr>
          <w:trHeight w:val="300"/>
        </w:trPr>
        <w:tc>
          <w:tcPr>
            <w:tcW w:w="952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865" w:rsidRPr="00AA55FE" w:rsidRDefault="00765865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2018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35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д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аранпауль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13.06.2018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20.06.2018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1140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Хурумпауль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13.06.2018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20.06.2018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1140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13.06.2018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20.06.2018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Соснино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02.07.2018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12.07.2018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945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Былино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25.06.2018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16.07.2018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930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945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39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.Н</w:t>
            </w:r>
            <w:proofErr w:type="gramEnd"/>
            <w:r w:rsidRPr="00AA55FE">
              <w:rPr>
                <w:sz w:val="16"/>
                <w:szCs w:val="16"/>
              </w:rPr>
              <w:t>ижневартовск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03.07.2018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28.07.2018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945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25.06.2018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28.07.2018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д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аранпауль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02.08.2019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06.08.2019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1161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41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Хурумпауль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01.08.2019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06.08.2019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1161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01.08.2019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06.08.2019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Вандрас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п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алым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24.05.2020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712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825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Бол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алым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Нефтеюганский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.Л</w:t>
            </w:r>
            <w:proofErr w:type="gramEnd"/>
            <w:r w:rsidRPr="00AA55FE">
              <w:rPr>
                <w:sz w:val="16"/>
                <w:szCs w:val="16"/>
              </w:rPr>
              <w:t>емпино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11.05.2020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09.06.2020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677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696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24.04.2020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09.06.2020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 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Белоярский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.П</w:t>
            </w:r>
            <w:proofErr w:type="gramEnd"/>
            <w:r w:rsidRPr="00AA55FE">
              <w:rPr>
                <w:sz w:val="16"/>
                <w:szCs w:val="16"/>
              </w:rPr>
              <w:t>ашторы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01.06.2020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01.07.2020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900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906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01.06.2020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01.07.2020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 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45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с. </w:t>
            </w:r>
            <w:proofErr w:type="spellStart"/>
            <w:r w:rsidRPr="00AA55FE">
              <w:rPr>
                <w:sz w:val="16"/>
                <w:szCs w:val="16"/>
              </w:rPr>
              <w:t>Саранпауль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83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14.05.2020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1196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46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д</w:t>
            </w:r>
            <w:proofErr w:type="gramStart"/>
            <w:r w:rsidRPr="00AA55FE">
              <w:rPr>
                <w:sz w:val="16"/>
                <w:szCs w:val="16"/>
              </w:rPr>
              <w:t>.Х</w:t>
            </w:r>
            <w:proofErr w:type="gramEnd"/>
            <w:r w:rsidRPr="00AA55FE">
              <w:rPr>
                <w:sz w:val="16"/>
                <w:szCs w:val="16"/>
              </w:rPr>
              <w:t>урумпауль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14.05.2020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1117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1196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еверная Сосьва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д</w:t>
            </w:r>
            <w:proofErr w:type="gramStart"/>
            <w:r w:rsidRPr="00AA55FE">
              <w:rPr>
                <w:sz w:val="16"/>
                <w:szCs w:val="16"/>
              </w:rPr>
              <w:t>.А</w:t>
            </w:r>
            <w:proofErr w:type="gramEnd"/>
            <w:r w:rsidRPr="00AA55FE">
              <w:rPr>
                <w:sz w:val="16"/>
                <w:szCs w:val="16"/>
              </w:rPr>
              <w:t>неева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26.05.2020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820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840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еверная Сосьва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п</w:t>
            </w:r>
            <w:proofErr w:type="gramStart"/>
            <w:r w:rsidRPr="00AA55FE">
              <w:rPr>
                <w:sz w:val="16"/>
                <w:szCs w:val="16"/>
              </w:rPr>
              <w:t>.Б</w:t>
            </w:r>
            <w:proofErr w:type="gramEnd"/>
            <w:r w:rsidRPr="00AA55FE">
              <w:rPr>
                <w:sz w:val="16"/>
                <w:szCs w:val="16"/>
              </w:rPr>
              <w:t>ерезово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03.06.2020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15.06.020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716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721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49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Малая Обь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.Т</w:t>
            </w:r>
            <w:proofErr w:type="gramEnd"/>
            <w:r w:rsidRPr="00AA55FE">
              <w:rPr>
                <w:sz w:val="16"/>
                <w:szCs w:val="16"/>
              </w:rPr>
              <w:t>еги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04.06.2020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718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721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Северная Сосьва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д</w:t>
            </w:r>
            <w:proofErr w:type="gramStart"/>
            <w:r w:rsidRPr="00AA55FE">
              <w:rPr>
                <w:sz w:val="16"/>
                <w:szCs w:val="16"/>
              </w:rPr>
              <w:t>.Д</w:t>
            </w:r>
            <w:proofErr w:type="gramEnd"/>
            <w:r w:rsidRPr="00AA55FE">
              <w:rPr>
                <w:sz w:val="16"/>
                <w:szCs w:val="16"/>
              </w:rPr>
              <w:t>еминская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04.06.2020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718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721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51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р. Малая Обь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</w:t>
            </w:r>
            <w:proofErr w:type="gramStart"/>
            <w:r w:rsidRPr="00AA55FE">
              <w:rPr>
                <w:sz w:val="16"/>
                <w:szCs w:val="16"/>
              </w:rPr>
              <w:t>.П</w:t>
            </w:r>
            <w:proofErr w:type="gramEnd"/>
            <w:r w:rsidRPr="00AA55FE">
              <w:rPr>
                <w:sz w:val="16"/>
                <w:szCs w:val="16"/>
              </w:rPr>
              <w:t>угоры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04.06.2020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718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721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133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14.05.2020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 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52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.О</w:t>
            </w:r>
            <w:proofErr w:type="gramEnd"/>
            <w:r w:rsidRPr="00AA55FE">
              <w:rPr>
                <w:sz w:val="16"/>
                <w:szCs w:val="16"/>
              </w:rPr>
              <w:t>бь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.Н</w:t>
            </w:r>
            <w:proofErr w:type="gramEnd"/>
            <w:r w:rsidRPr="00AA55FE">
              <w:rPr>
                <w:sz w:val="16"/>
                <w:szCs w:val="16"/>
              </w:rPr>
              <w:t>ижневартовск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04.06.2020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902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918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.В</w:t>
            </w:r>
            <w:proofErr w:type="gramEnd"/>
            <w:r w:rsidRPr="00AA55FE">
              <w:rPr>
                <w:sz w:val="16"/>
                <w:szCs w:val="16"/>
              </w:rPr>
              <w:t>атинский</w:t>
            </w:r>
            <w:proofErr w:type="spellEnd"/>
            <w:r w:rsidRPr="00AA55FE">
              <w:rPr>
                <w:sz w:val="16"/>
                <w:szCs w:val="16"/>
              </w:rPr>
              <w:t xml:space="preserve"> </w:t>
            </w:r>
            <w:proofErr w:type="spellStart"/>
            <w:r w:rsidRPr="00AA55FE">
              <w:rPr>
                <w:sz w:val="16"/>
                <w:szCs w:val="16"/>
              </w:rPr>
              <w:t>Еган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Нижневартовский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.М</w:t>
            </w:r>
            <w:proofErr w:type="gramEnd"/>
            <w:r w:rsidRPr="00AA55FE">
              <w:rPr>
                <w:sz w:val="16"/>
                <w:szCs w:val="16"/>
              </w:rPr>
              <w:t>егион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29.04.2020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26.05.2020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 754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880 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29.04.2020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 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54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Подтопление талыми водами вследствие неправильного межевания дачных участков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Сургутский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.К</w:t>
            </w:r>
            <w:proofErr w:type="gramEnd"/>
            <w:r w:rsidRPr="00AA55FE">
              <w:rPr>
                <w:sz w:val="16"/>
                <w:szCs w:val="16"/>
              </w:rPr>
              <w:t>огалым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26.04.2020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18.06.2020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 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55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.Ч</w:t>
            </w:r>
            <w:proofErr w:type="gramEnd"/>
            <w:r w:rsidRPr="00AA55FE">
              <w:rPr>
                <w:sz w:val="16"/>
                <w:szCs w:val="16"/>
              </w:rPr>
              <w:t>ерная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proofErr w:type="spellStart"/>
            <w:r w:rsidRPr="00AA55FE">
              <w:rPr>
                <w:sz w:val="16"/>
                <w:szCs w:val="16"/>
              </w:rPr>
              <w:t>Сургутский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г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ургут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25.04.2020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 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18.06.2020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- 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еверная Сосьва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Хулимсунт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17.05.2022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22.05.2022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624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748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57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с. </w:t>
            </w:r>
            <w:proofErr w:type="spellStart"/>
            <w:r w:rsidRPr="00AA55FE">
              <w:rPr>
                <w:sz w:val="16"/>
                <w:szCs w:val="16"/>
              </w:rPr>
              <w:t>Саранпауль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18.05.2022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22.05.2022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1067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58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еверная Сосьва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Няксимволь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19.05.2022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20.05.2022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748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748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59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р. </w:t>
            </w:r>
            <w:proofErr w:type="spellStart"/>
            <w:r w:rsidRPr="00AA55FE">
              <w:rPr>
                <w:sz w:val="16"/>
                <w:szCs w:val="16"/>
              </w:rPr>
              <w:t>Ляпин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Хурумпауль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28.05.2022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03.06.2022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1056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1171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60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с. </w:t>
            </w:r>
            <w:proofErr w:type="spellStart"/>
            <w:r w:rsidRPr="00AA55FE">
              <w:rPr>
                <w:sz w:val="16"/>
                <w:szCs w:val="16"/>
              </w:rPr>
              <w:t>Саранпауль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28.05.2022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03.06.2022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1067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1171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61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р</w:t>
            </w:r>
            <w:proofErr w:type="gramStart"/>
            <w:r w:rsidRPr="00AA55FE">
              <w:rPr>
                <w:sz w:val="16"/>
                <w:szCs w:val="16"/>
              </w:rPr>
              <w:t>.С</w:t>
            </w:r>
            <w:proofErr w:type="gramEnd"/>
            <w:r w:rsidRPr="00AA55FE">
              <w:rPr>
                <w:sz w:val="16"/>
                <w:szCs w:val="16"/>
              </w:rPr>
              <w:t>еверная Сосьва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д. </w:t>
            </w:r>
            <w:proofErr w:type="spellStart"/>
            <w:r w:rsidRPr="00AA55FE">
              <w:rPr>
                <w:sz w:val="16"/>
                <w:szCs w:val="16"/>
              </w:rPr>
              <w:t>Хулимсунт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30.05.2022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05.06.2022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627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646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62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н.п. </w:t>
            </w:r>
            <w:proofErr w:type="spellStart"/>
            <w:r w:rsidRPr="00AA55FE">
              <w:rPr>
                <w:sz w:val="16"/>
                <w:szCs w:val="16"/>
              </w:rPr>
              <w:t>Анеева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02.06.2022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17.06.2022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818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867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63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н.п. </w:t>
            </w:r>
            <w:proofErr w:type="spellStart"/>
            <w:r w:rsidRPr="00AA55FE">
              <w:rPr>
                <w:sz w:val="16"/>
                <w:szCs w:val="16"/>
              </w:rPr>
              <w:t>Няксимволь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03.06.2022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04.06.2022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731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731</w:t>
            </w:r>
          </w:p>
        </w:tc>
      </w:tr>
      <w:tr w:rsidR="00AB402C" w:rsidRPr="00AA55FE" w:rsidTr="00AB402C">
        <w:trPr>
          <w:trHeight w:val="3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64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Березовский 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н.п. </w:t>
            </w:r>
            <w:proofErr w:type="spellStart"/>
            <w:r w:rsidRPr="00AA55FE">
              <w:rPr>
                <w:sz w:val="16"/>
                <w:szCs w:val="16"/>
              </w:rPr>
              <w:t>Игрим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06.06.2022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12.06.2022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844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867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ИТОГО: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131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17.05.2022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05.06.2022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  <w:tr w:rsidR="00AB402C" w:rsidRPr="00AA55FE" w:rsidTr="00AB402C">
        <w:trPr>
          <w:trHeight w:val="300"/>
        </w:trPr>
        <w:tc>
          <w:tcPr>
            <w:tcW w:w="29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2284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945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3334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20.04.2020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>19.08.2015</w:t>
            </w:r>
          </w:p>
        </w:tc>
        <w:tc>
          <w:tcPr>
            <w:tcW w:w="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  <w:tc>
          <w:tcPr>
            <w:tcW w:w="171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02C" w:rsidRPr="00AA55FE" w:rsidRDefault="00AB402C" w:rsidP="00AA55FE">
            <w:pPr>
              <w:pStyle w:val="a3"/>
              <w:rPr>
                <w:sz w:val="16"/>
                <w:szCs w:val="16"/>
              </w:rPr>
            </w:pPr>
            <w:r w:rsidRPr="00AA55FE">
              <w:rPr>
                <w:sz w:val="16"/>
                <w:szCs w:val="16"/>
              </w:rPr>
              <w:t xml:space="preserve"> -</w:t>
            </w:r>
          </w:p>
        </w:tc>
      </w:tr>
    </w:tbl>
    <w:p w:rsidR="00E725AB" w:rsidRDefault="00E725AB" w:rsidP="00A71BA4">
      <w:pPr>
        <w:suppressAutoHyphens/>
        <w:rPr>
          <w:rFonts w:ascii="Times New Roman" w:hAnsi="Times New Roman"/>
          <w:sz w:val="24"/>
          <w:szCs w:val="24"/>
        </w:rPr>
      </w:pPr>
    </w:p>
    <w:p w:rsidR="00E725AB" w:rsidRDefault="00E725AB" w:rsidP="00E725AB">
      <w:pPr>
        <w:suppressAutoHyphens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Югры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выделить  4  крупных </w:t>
      </w:r>
      <w:r w:rsidRPr="00A71BA4">
        <w:rPr>
          <w:rFonts w:ascii="Times New Roman" w:hAnsi="Times New Roman"/>
          <w:sz w:val="24"/>
          <w:szCs w:val="24"/>
        </w:rPr>
        <w:t xml:space="preserve">ЧС, связанные с </w:t>
      </w:r>
      <w:r>
        <w:rPr>
          <w:rFonts w:ascii="Times New Roman" w:hAnsi="Times New Roman"/>
          <w:sz w:val="24"/>
          <w:szCs w:val="24"/>
        </w:rPr>
        <w:t>за</w:t>
      </w:r>
      <w:r w:rsidRPr="00A71BA4">
        <w:rPr>
          <w:rFonts w:ascii="Times New Roman" w:hAnsi="Times New Roman"/>
          <w:sz w:val="24"/>
          <w:szCs w:val="24"/>
        </w:rPr>
        <w:t xml:space="preserve">топлением </w:t>
      </w:r>
      <w:r>
        <w:rPr>
          <w:rFonts w:ascii="Times New Roman" w:hAnsi="Times New Roman"/>
          <w:sz w:val="24"/>
          <w:szCs w:val="24"/>
        </w:rPr>
        <w:t>территорий в период половодья, статистика представлена в таблице 2.</w:t>
      </w:r>
    </w:p>
    <w:p w:rsidR="00A71BA4" w:rsidRPr="00A71BA4" w:rsidRDefault="00A71BA4" w:rsidP="00A71BA4">
      <w:p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</w:t>
      </w:r>
      <w:r w:rsidR="00AA55FE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 xml:space="preserve"> </w:t>
      </w:r>
      <w:r w:rsidR="00AA55FE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рупные </w:t>
      </w:r>
      <w:r w:rsidRPr="00A71BA4">
        <w:rPr>
          <w:rFonts w:ascii="Times New Roman" w:hAnsi="Times New Roman"/>
          <w:sz w:val="24"/>
          <w:szCs w:val="24"/>
        </w:rPr>
        <w:t xml:space="preserve">ЧС, связанные с </w:t>
      </w:r>
      <w:r w:rsidR="00AA55FE">
        <w:rPr>
          <w:rFonts w:ascii="Times New Roman" w:hAnsi="Times New Roman"/>
          <w:sz w:val="24"/>
          <w:szCs w:val="24"/>
        </w:rPr>
        <w:t>за</w:t>
      </w:r>
      <w:r w:rsidRPr="00A71BA4">
        <w:rPr>
          <w:rFonts w:ascii="Times New Roman" w:hAnsi="Times New Roman"/>
          <w:sz w:val="24"/>
          <w:szCs w:val="24"/>
        </w:rPr>
        <w:t xml:space="preserve">топлением </w:t>
      </w:r>
      <w:r w:rsidR="00AA55FE">
        <w:rPr>
          <w:rFonts w:ascii="Times New Roman" w:hAnsi="Times New Roman"/>
          <w:sz w:val="24"/>
          <w:szCs w:val="24"/>
        </w:rPr>
        <w:t xml:space="preserve">территорий </w:t>
      </w:r>
      <w:r w:rsidRPr="00A71BA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71BA4">
        <w:rPr>
          <w:rFonts w:ascii="Times New Roman" w:hAnsi="Times New Roman"/>
          <w:sz w:val="24"/>
          <w:szCs w:val="24"/>
        </w:rPr>
        <w:t>Югре</w:t>
      </w:r>
      <w:proofErr w:type="spellEnd"/>
      <w:r w:rsidR="00AA55FE">
        <w:rPr>
          <w:rFonts w:ascii="Times New Roman" w:hAnsi="Times New Roman"/>
          <w:sz w:val="24"/>
          <w:szCs w:val="24"/>
        </w:rPr>
        <w:t xml:space="preserve"> в период половодья</w:t>
      </w:r>
    </w:p>
    <w:tbl>
      <w:tblPr>
        <w:tblW w:w="4894" w:type="pct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/>
      </w:tblPr>
      <w:tblGrid>
        <w:gridCol w:w="444"/>
        <w:gridCol w:w="1682"/>
        <w:gridCol w:w="7519"/>
      </w:tblGrid>
      <w:tr w:rsidR="00A71BA4" w:rsidRPr="00AA55FE" w:rsidTr="00AA55FE">
        <w:tc>
          <w:tcPr>
            <w:tcW w:w="230" w:type="pct"/>
          </w:tcPr>
          <w:p w:rsidR="00A71BA4" w:rsidRPr="00AA55FE" w:rsidRDefault="00A71BA4" w:rsidP="00655B3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AA55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A71BA4" w:rsidRPr="00AA55FE" w:rsidRDefault="00A71BA4" w:rsidP="00655B3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AA55FE">
              <w:rPr>
                <w:rFonts w:ascii="Times New Roman" w:hAnsi="Times New Roman"/>
                <w:sz w:val="24"/>
                <w:szCs w:val="24"/>
              </w:rPr>
              <w:t>22-30.06.2000</w:t>
            </w:r>
          </w:p>
        </w:tc>
        <w:tc>
          <w:tcPr>
            <w:tcW w:w="3898" w:type="pct"/>
          </w:tcPr>
          <w:p w:rsidR="00A71BA4" w:rsidRPr="00AA55FE" w:rsidRDefault="00A71BA4" w:rsidP="00AA55FE">
            <w:pPr>
              <w:pStyle w:val="a3"/>
            </w:pPr>
            <w:r w:rsidRPr="00AA55FE">
              <w:t>В результате превышения высших уровней воды на большинстве рек среднемноголетних значений максимумов:</w:t>
            </w:r>
          </w:p>
          <w:p w:rsidR="00A71BA4" w:rsidRPr="00AA55FE" w:rsidRDefault="00A71BA4" w:rsidP="00AA55FE">
            <w:pPr>
              <w:pStyle w:val="a3"/>
            </w:pPr>
            <w:proofErr w:type="gramStart"/>
            <w:r w:rsidRPr="00AA55FE">
              <w:t xml:space="preserve">- на 0,2 –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A55FE">
                <w:t>0,5 м</w:t>
              </w:r>
            </w:smartTag>
            <w:r w:rsidRPr="00AA55FE">
              <w:t xml:space="preserve"> – р.р. Обь (г. Сургут – с. </w:t>
            </w:r>
            <w:proofErr w:type="spellStart"/>
            <w:r w:rsidRPr="00AA55FE">
              <w:t>Сытомино</w:t>
            </w:r>
            <w:proofErr w:type="spellEnd"/>
            <w:r w:rsidRPr="00AA55FE">
              <w:t>; р.п.</w:t>
            </w:r>
            <w:proofErr w:type="gramEnd"/>
            <w:r w:rsidRPr="00AA55FE">
              <w:t xml:space="preserve"> </w:t>
            </w:r>
            <w:proofErr w:type="gramStart"/>
            <w:r w:rsidRPr="00AA55FE">
              <w:t xml:space="preserve">Октябрьское – п. Полноват), </w:t>
            </w:r>
            <w:proofErr w:type="spellStart"/>
            <w:r w:rsidRPr="00AA55FE">
              <w:t>Назым</w:t>
            </w:r>
            <w:proofErr w:type="spellEnd"/>
            <w:r w:rsidRPr="00AA55FE">
              <w:t xml:space="preserve">, </w:t>
            </w:r>
            <w:proofErr w:type="spellStart"/>
            <w:r w:rsidRPr="00AA55FE">
              <w:t>Конда</w:t>
            </w:r>
            <w:proofErr w:type="spellEnd"/>
            <w:r w:rsidRPr="00AA55FE">
              <w:t xml:space="preserve"> (д. </w:t>
            </w:r>
            <w:proofErr w:type="spellStart"/>
            <w:r w:rsidRPr="00AA55FE">
              <w:t>Чантырья</w:t>
            </w:r>
            <w:proofErr w:type="spellEnd"/>
            <w:r w:rsidRPr="00AA55FE">
              <w:t xml:space="preserve"> – п.г.т. </w:t>
            </w:r>
            <w:proofErr w:type="spellStart"/>
            <w:r w:rsidRPr="00AA55FE">
              <w:t>Кондинское</w:t>
            </w:r>
            <w:proofErr w:type="spellEnd"/>
            <w:r w:rsidRPr="00AA55FE">
              <w:t xml:space="preserve">), Северная Сосьва (п.г.т. </w:t>
            </w:r>
            <w:proofErr w:type="spellStart"/>
            <w:r w:rsidRPr="00AA55FE">
              <w:t>Игрим</w:t>
            </w:r>
            <w:proofErr w:type="spellEnd"/>
            <w:r w:rsidRPr="00AA55FE">
              <w:t xml:space="preserve">, п.г.т. </w:t>
            </w:r>
            <w:proofErr w:type="spellStart"/>
            <w:r w:rsidRPr="00AA55FE">
              <w:t>Березово</w:t>
            </w:r>
            <w:proofErr w:type="spellEnd"/>
            <w:r w:rsidRPr="00AA55FE">
              <w:t>);</w:t>
            </w:r>
            <w:proofErr w:type="gramEnd"/>
          </w:p>
          <w:p w:rsidR="00A71BA4" w:rsidRPr="00AA55FE" w:rsidRDefault="00A71BA4" w:rsidP="00AA55FE">
            <w:pPr>
              <w:pStyle w:val="a3"/>
            </w:pPr>
            <w:proofErr w:type="gramStart"/>
            <w:r w:rsidRPr="00AA55FE">
              <w:t xml:space="preserve">- на 0,1 –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A55FE">
                <w:t>0,5 м</w:t>
              </w:r>
            </w:smartTag>
            <w:r w:rsidRPr="00AA55FE">
              <w:t xml:space="preserve"> – р.р. Обь (г. Нижневартовск, с. Белогорье), Большой </w:t>
            </w:r>
            <w:proofErr w:type="spellStart"/>
            <w:r w:rsidRPr="00AA55FE">
              <w:t>Юган</w:t>
            </w:r>
            <w:proofErr w:type="spellEnd"/>
            <w:r w:rsidRPr="00AA55FE">
              <w:t xml:space="preserve"> (с. Угут), Иртыш (г. Ханты-Мансийск), </w:t>
            </w:r>
            <w:proofErr w:type="spellStart"/>
            <w:r w:rsidRPr="00AA55FE">
              <w:t>Конда</w:t>
            </w:r>
            <w:proofErr w:type="spellEnd"/>
            <w:r w:rsidRPr="00AA55FE">
              <w:t xml:space="preserve"> (с. </w:t>
            </w:r>
            <w:proofErr w:type="spellStart"/>
            <w:r w:rsidRPr="00AA55FE">
              <w:t>Болчары</w:t>
            </w:r>
            <w:proofErr w:type="spellEnd"/>
            <w:r w:rsidRPr="00AA55FE">
              <w:t xml:space="preserve"> – с. Алтай);</w:t>
            </w:r>
            <w:proofErr w:type="gramEnd"/>
          </w:p>
          <w:p w:rsidR="00A71BA4" w:rsidRPr="00AA55FE" w:rsidRDefault="00A71BA4" w:rsidP="00AA55FE">
            <w:pPr>
              <w:pStyle w:val="a3"/>
            </w:pPr>
            <w:r w:rsidRPr="00AA55FE">
              <w:t>подтопление 657 домов в 5 муниципальных районах округа (</w:t>
            </w:r>
            <w:proofErr w:type="spellStart"/>
            <w:r w:rsidRPr="00AA55FE">
              <w:t>Кондинский</w:t>
            </w:r>
            <w:proofErr w:type="spellEnd"/>
            <w:r w:rsidRPr="00AA55FE">
              <w:t xml:space="preserve">, Ханты-Мансийский, </w:t>
            </w:r>
            <w:proofErr w:type="spellStart"/>
            <w:r w:rsidRPr="00AA55FE">
              <w:t>Сургутский</w:t>
            </w:r>
            <w:proofErr w:type="spellEnd"/>
            <w:r w:rsidRPr="00AA55FE">
              <w:t xml:space="preserve">, </w:t>
            </w:r>
            <w:proofErr w:type="gramStart"/>
            <w:r w:rsidRPr="00AA55FE">
              <w:t>Октябрьский</w:t>
            </w:r>
            <w:proofErr w:type="gramEnd"/>
            <w:r w:rsidRPr="00AA55FE">
              <w:t xml:space="preserve">, </w:t>
            </w:r>
            <w:proofErr w:type="spellStart"/>
            <w:r w:rsidRPr="00AA55FE">
              <w:t>Нефтеюганский</w:t>
            </w:r>
            <w:proofErr w:type="spellEnd"/>
            <w:r w:rsidRPr="00AA55FE">
              <w:t xml:space="preserve">). Жертв и пострадавших нет. </w:t>
            </w:r>
          </w:p>
          <w:p w:rsidR="00A71BA4" w:rsidRPr="00AA55FE" w:rsidRDefault="00A71BA4" w:rsidP="00AA55FE">
            <w:pPr>
              <w:pStyle w:val="a3"/>
            </w:pPr>
            <w:r w:rsidRPr="00AA55FE">
              <w:t xml:space="preserve">Эвакуация населения и отгон животного скота не проводились.  </w:t>
            </w:r>
          </w:p>
          <w:p w:rsidR="00A71BA4" w:rsidRPr="00AA55FE" w:rsidRDefault="00A71BA4" w:rsidP="00AA55FE">
            <w:pPr>
              <w:pStyle w:val="a3"/>
            </w:pPr>
            <w:r w:rsidRPr="00AA55FE">
              <w:t xml:space="preserve">Материальный ущерб – 89 031,9 тыс. руб. </w:t>
            </w:r>
          </w:p>
        </w:tc>
      </w:tr>
      <w:tr w:rsidR="00A71BA4" w:rsidRPr="00AA55FE" w:rsidTr="00AA55FE">
        <w:tc>
          <w:tcPr>
            <w:tcW w:w="230" w:type="pct"/>
          </w:tcPr>
          <w:p w:rsidR="00A71BA4" w:rsidRPr="00AA55FE" w:rsidRDefault="00A71BA4" w:rsidP="00655B3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A55F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72" w:type="pct"/>
          </w:tcPr>
          <w:p w:rsidR="00A71BA4" w:rsidRPr="00AA55FE" w:rsidRDefault="00A71BA4" w:rsidP="00655B3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A55FE">
              <w:rPr>
                <w:rFonts w:ascii="Times New Roman" w:hAnsi="Times New Roman"/>
                <w:sz w:val="24"/>
                <w:szCs w:val="24"/>
              </w:rPr>
              <w:t>10-30.06.2002</w:t>
            </w:r>
          </w:p>
        </w:tc>
        <w:tc>
          <w:tcPr>
            <w:tcW w:w="3898" w:type="pct"/>
          </w:tcPr>
          <w:p w:rsidR="00A71BA4" w:rsidRPr="00AA55FE" w:rsidRDefault="00A71BA4" w:rsidP="00AA55FE">
            <w:pPr>
              <w:pStyle w:val="a3"/>
            </w:pPr>
            <w:r w:rsidRPr="00AA55FE">
              <w:t>В результате превышения высших уровней воды на большинстве рек среднемноголетних значений максимумов:</w:t>
            </w:r>
          </w:p>
          <w:p w:rsidR="00A71BA4" w:rsidRPr="00AA55FE" w:rsidRDefault="00A71BA4" w:rsidP="00AA55FE">
            <w:pPr>
              <w:pStyle w:val="a3"/>
            </w:pPr>
            <w:proofErr w:type="gramStart"/>
            <w:r w:rsidRPr="00AA55FE">
              <w:t xml:space="preserve">- на 0,2 –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AA55FE">
                <w:t>0,9 м</w:t>
              </w:r>
            </w:smartTag>
            <w:r w:rsidRPr="00AA55FE">
              <w:t xml:space="preserve"> – р.р. Обь (г. Сургут – с. </w:t>
            </w:r>
            <w:proofErr w:type="spellStart"/>
            <w:r w:rsidRPr="00AA55FE">
              <w:t>Сытомино</w:t>
            </w:r>
            <w:proofErr w:type="spellEnd"/>
            <w:r w:rsidRPr="00AA55FE">
              <w:t>; р.п.</w:t>
            </w:r>
            <w:proofErr w:type="gramEnd"/>
            <w:r w:rsidRPr="00AA55FE">
              <w:t xml:space="preserve"> </w:t>
            </w:r>
            <w:proofErr w:type="gramStart"/>
            <w:r w:rsidRPr="00AA55FE">
              <w:t xml:space="preserve">Октябрьское – п. Полноват), </w:t>
            </w:r>
            <w:proofErr w:type="spellStart"/>
            <w:r w:rsidRPr="00AA55FE">
              <w:t>Назым</w:t>
            </w:r>
            <w:proofErr w:type="spellEnd"/>
            <w:r w:rsidRPr="00AA55FE">
              <w:t xml:space="preserve">, </w:t>
            </w:r>
            <w:proofErr w:type="spellStart"/>
            <w:r w:rsidRPr="00AA55FE">
              <w:t>Конда</w:t>
            </w:r>
            <w:proofErr w:type="spellEnd"/>
            <w:r w:rsidRPr="00AA55FE">
              <w:t xml:space="preserve"> (д. </w:t>
            </w:r>
            <w:proofErr w:type="spellStart"/>
            <w:r w:rsidRPr="00AA55FE">
              <w:t>Чантырья</w:t>
            </w:r>
            <w:proofErr w:type="spellEnd"/>
            <w:r w:rsidRPr="00AA55FE">
              <w:t xml:space="preserve"> – п.г.т. </w:t>
            </w:r>
            <w:proofErr w:type="spellStart"/>
            <w:r w:rsidRPr="00AA55FE">
              <w:t>Кондинское</w:t>
            </w:r>
            <w:proofErr w:type="spellEnd"/>
            <w:r w:rsidRPr="00AA55FE">
              <w:t xml:space="preserve">), Северная Сосьва (п.г.т. </w:t>
            </w:r>
            <w:proofErr w:type="spellStart"/>
            <w:r w:rsidRPr="00AA55FE">
              <w:t>Игрим</w:t>
            </w:r>
            <w:proofErr w:type="spellEnd"/>
            <w:r w:rsidRPr="00AA55FE">
              <w:t xml:space="preserve">, п.г.т. </w:t>
            </w:r>
            <w:proofErr w:type="spellStart"/>
            <w:r w:rsidRPr="00AA55FE">
              <w:t>Березово</w:t>
            </w:r>
            <w:proofErr w:type="spellEnd"/>
            <w:r w:rsidRPr="00AA55FE">
              <w:t>);</w:t>
            </w:r>
            <w:proofErr w:type="gramEnd"/>
          </w:p>
          <w:p w:rsidR="00A71BA4" w:rsidRPr="00AA55FE" w:rsidRDefault="00A71BA4" w:rsidP="00AA55FE">
            <w:pPr>
              <w:pStyle w:val="a3"/>
            </w:pPr>
            <w:proofErr w:type="gramStart"/>
            <w:r w:rsidRPr="00AA55FE">
              <w:t xml:space="preserve">- на 0,2 –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AA55FE">
                <w:t>0,9 м</w:t>
              </w:r>
            </w:smartTag>
            <w:r w:rsidRPr="00AA55FE">
              <w:t xml:space="preserve"> – р.р. Обь (г. Нижневартовск, с. Белогорье), Большой </w:t>
            </w:r>
            <w:proofErr w:type="spellStart"/>
            <w:r w:rsidRPr="00AA55FE">
              <w:t>Юган</w:t>
            </w:r>
            <w:proofErr w:type="spellEnd"/>
            <w:r w:rsidRPr="00AA55FE">
              <w:t xml:space="preserve"> (с. Угут), Иртыш (г. Ханты-Мансийск), </w:t>
            </w:r>
            <w:proofErr w:type="spellStart"/>
            <w:r w:rsidRPr="00AA55FE">
              <w:t>Конда</w:t>
            </w:r>
            <w:proofErr w:type="spellEnd"/>
            <w:r w:rsidRPr="00AA55FE">
              <w:t xml:space="preserve"> (с. </w:t>
            </w:r>
            <w:proofErr w:type="spellStart"/>
            <w:r w:rsidRPr="00AA55FE">
              <w:t>Болчары</w:t>
            </w:r>
            <w:proofErr w:type="spellEnd"/>
            <w:r w:rsidRPr="00AA55FE">
              <w:t xml:space="preserve"> – с. Алтай);</w:t>
            </w:r>
            <w:proofErr w:type="gramEnd"/>
          </w:p>
          <w:p w:rsidR="00A71BA4" w:rsidRPr="00AA55FE" w:rsidRDefault="00A71BA4" w:rsidP="00AA55FE">
            <w:pPr>
              <w:pStyle w:val="a3"/>
            </w:pPr>
            <w:r w:rsidRPr="00AA55FE">
              <w:t xml:space="preserve">подтопление в 7 муниципальных районах округа (Ханты-Мансийский, </w:t>
            </w:r>
            <w:proofErr w:type="spellStart"/>
            <w:r w:rsidRPr="00AA55FE">
              <w:t>Сургутский</w:t>
            </w:r>
            <w:proofErr w:type="spellEnd"/>
            <w:r w:rsidRPr="00AA55FE">
              <w:t xml:space="preserve">, Октябрьский, </w:t>
            </w:r>
            <w:proofErr w:type="spellStart"/>
            <w:r w:rsidRPr="00AA55FE">
              <w:t>Нефтеюганский</w:t>
            </w:r>
            <w:proofErr w:type="spellEnd"/>
            <w:r w:rsidRPr="00AA55FE">
              <w:t xml:space="preserve">, Березовский, </w:t>
            </w:r>
            <w:proofErr w:type="spellStart"/>
            <w:r w:rsidRPr="00AA55FE">
              <w:t>Кондинский</w:t>
            </w:r>
            <w:proofErr w:type="spellEnd"/>
            <w:r w:rsidRPr="00AA55FE">
              <w:t>, Белоярский). Жертв и пострадавших нет.</w:t>
            </w:r>
          </w:p>
          <w:p w:rsidR="00A71BA4" w:rsidRPr="00AA55FE" w:rsidRDefault="00A71BA4" w:rsidP="00AA55FE">
            <w:pPr>
              <w:pStyle w:val="a3"/>
            </w:pPr>
            <w:r w:rsidRPr="00AA55FE">
              <w:t xml:space="preserve">Эвакуация населения и отгон животного скота не проводились.  </w:t>
            </w:r>
          </w:p>
          <w:p w:rsidR="00A71BA4" w:rsidRPr="00AA55FE" w:rsidRDefault="00A71BA4" w:rsidP="00AA55FE">
            <w:pPr>
              <w:pStyle w:val="a3"/>
            </w:pPr>
            <w:r w:rsidRPr="00AA55FE">
              <w:t>Материальный ущерб – 101 052,525 тыс. руб. Финансовые затраты – 31 060,864 тыс.</w:t>
            </w:r>
          </w:p>
        </w:tc>
      </w:tr>
      <w:tr w:rsidR="00A71BA4" w:rsidRPr="00AA55FE" w:rsidTr="00AA55FE">
        <w:tc>
          <w:tcPr>
            <w:tcW w:w="230" w:type="pct"/>
          </w:tcPr>
          <w:p w:rsidR="00A71BA4" w:rsidRPr="00AA55FE" w:rsidRDefault="00A71BA4" w:rsidP="00655B3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A55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2" w:type="pct"/>
          </w:tcPr>
          <w:p w:rsidR="00A71BA4" w:rsidRPr="00AA55FE" w:rsidRDefault="00A71BA4" w:rsidP="00655B3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AA55FE">
              <w:rPr>
                <w:rFonts w:ascii="Times New Roman" w:hAnsi="Times New Roman"/>
                <w:bCs/>
                <w:sz w:val="24"/>
                <w:szCs w:val="24"/>
              </w:rPr>
              <w:t>01-30.06.2007</w:t>
            </w:r>
          </w:p>
        </w:tc>
        <w:tc>
          <w:tcPr>
            <w:tcW w:w="3898" w:type="pct"/>
          </w:tcPr>
          <w:p w:rsidR="00A71BA4" w:rsidRPr="00AA55FE" w:rsidRDefault="00A71BA4" w:rsidP="00AA55FE">
            <w:pPr>
              <w:pStyle w:val="a3"/>
            </w:pPr>
            <w:r w:rsidRPr="00AA55FE">
              <w:t>В результате превышения высших уровней воды на большинстве рек среднемноголетних значений максимумов:</w:t>
            </w:r>
          </w:p>
          <w:p w:rsidR="00A71BA4" w:rsidRPr="00AA55FE" w:rsidRDefault="00A71BA4" w:rsidP="00AA55FE">
            <w:pPr>
              <w:pStyle w:val="a3"/>
            </w:pPr>
            <w:proofErr w:type="gramStart"/>
            <w:r w:rsidRPr="00AA55FE">
              <w:t xml:space="preserve">- на 0,2 –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AA55FE">
                <w:t>0,9 м</w:t>
              </w:r>
            </w:smartTag>
            <w:r w:rsidRPr="00AA55FE">
              <w:t xml:space="preserve"> – р.р. Обь (г. Сургут – с. </w:t>
            </w:r>
            <w:proofErr w:type="spellStart"/>
            <w:r w:rsidRPr="00AA55FE">
              <w:t>Сытомино</w:t>
            </w:r>
            <w:proofErr w:type="spellEnd"/>
            <w:r w:rsidRPr="00AA55FE">
              <w:t>; р.п.</w:t>
            </w:r>
            <w:proofErr w:type="gramEnd"/>
            <w:r w:rsidRPr="00AA55FE">
              <w:t xml:space="preserve"> </w:t>
            </w:r>
            <w:proofErr w:type="gramStart"/>
            <w:r w:rsidRPr="00AA55FE">
              <w:t xml:space="preserve">Октябрьское – п. Полноват), </w:t>
            </w:r>
            <w:proofErr w:type="spellStart"/>
            <w:r w:rsidRPr="00AA55FE">
              <w:t>Назым</w:t>
            </w:r>
            <w:proofErr w:type="spellEnd"/>
            <w:r w:rsidRPr="00AA55FE">
              <w:t xml:space="preserve">, </w:t>
            </w:r>
            <w:proofErr w:type="spellStart"/>
            <w:r w:rsidRPr="00AA55FE">
              <w:t>Конда</w:t>
            </w:r>
            <w:proofErr w:type="spellEnd"/>
            <w:r w:rsidRPr="00AA55FE">
              <w:t xml:space="preserve"> (д. </w:t>
            </w:r>
            <w:proofErr w:type="spellStart"/>
            <w:r w:rsidRPr="00AA55FE">
              <w:t>Чантырья</w:t>
            </w:r>
            <w:proofErr w:type="spellEnd"/>
            <w:r w:rsidRPr="00AA55FE">
              <w:t xml:space="preserve"> – п.г.т. </w:t>
            </w:r>
            <w:proofErr w:type="spellStart"/>
            <w:r w:rsidRPr="00AA55FE">
              <w:t>Кондинское</w:t>
            </w:r>
            <w:proofErr w:type="spellEnd"/>
            <w:r w:rsidRPr="00AA55FE">
              <w:t xml:space="preserve">), Северная Сосьва (п.г.т. </w:t>
            </w:r>
            <w:proofErr w:type="spellStart"/>
            <w:r w:rsidRPr="00AA55FE">
              <w:t>Игрим</w:t>
            </w:r>
            <w:proofErr w:type="spellEnd"/>
            <w:r w:rsidRPr="00AA55FE">
              <w:t xml:space="preserve">, п.г.т. </w:t>
            </w:r>
            <w:proofErr w:type="spellStart"/>
            <w:r w:rsidRPr="00AA55FE">
              <w:t>Березово</w:t>
            </w:r>
            <w:proofErr w:type="spellEnd"/>
            <w:r w:rsidRPr="00AA55FE">
              <w:t>);</w:t>
            </w:r>
            <w:proofErr w:type="gramEnd"/>
          </w:p>
          <w:p w:rsidR="00A71BA4" w:rsidRPr="00AA55FE" w:rsidRDefault="00A71BA4" w:rsidP="00AA55FE">
            <w:pPr>
              <w:pStyle w:val="a3"/>
            </w:pPr>
            <w:proofErr w:type="gramStart"/>
            <w:r w:rsidRPr="00AA55FE">
              <w:t xml:space="preserve">- на 0,2 –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AA55FE">
                <w:t>0,8 м</w:t>
              </w:r>
            </w:smartTag>
            <w:r w:rsidRPr="00AA55FE">
              <w:t xml:space="preserve"> – р.р. Обь (г. Нижневартовск, с. Белогорье), Большой </w:t>
            </w:r>
            <w:proofErr w:type="spellStart"/>
            <w:r w:rsidRPr="00AA55FE">
              <w:t>Юган</w:t>
            </w:r>
            <w:proofErr w:type="spellEnd"/>
            <w:r w:rsidRPr="00AA55FE">
              <w:t xml:space="preserve"> (с. Угут), Иртыш (г. Ханты-Мансийск), </w:t>
            </w:r>
            <w:proofErr w:type="spellStart"/>
            <w:r w:rsidRPr="00AA55FE">
              <w:t>Конда</w:t>
            </w:r>
            <w:proofErr w:type="spellEnd"/>
            <w:r w:rsidRPr="00AA55FE">
              <w:t xml:space="preserve"> (с. </w:t>
            </w:r>
            <w:proofErr w:type="spellStart"/>
            <w:r w:rsidRPr="00AA55FE">
              <w:t>Болчары</w:t>
            </w:r>
            <w:proofErr w:type="spellEnd"/>
            <w:r w:rsidRPr="00AA55FE">
              <w:t xml:space="preserve"> – с. Алтай);</w:t>
            </w:r>
            <w:proofErr w:type="gramEnd"/>
          </w:p>
          <w:p w:rsidR="00A71BA4" w:rsidRPr="00AA55FE" w:rsidRDefault="00A71BA4" w:rsidP="00AA55FE">
            <w:pPr>
              <w:pStyle w:val="a3"/>
            </w:pPr>
            <w:r w:rsidRPr="00AA55FE">
              <w:t xml:space="preserve">подтопление 230 домов, 3 промышленных объекта в 7 муниципальных районах округа (Ханты-Мансийский, </w:t>
            </w:r>
            <w:proofErr w:type="spellStart"/>
            <w:r w:rsidRPr="00AA55FE">
              <w:t>Сургутский</w:t>
            </w:r>
            <w:proofErr w:type="spellEnd"/>
            <w:r w:rsidRPr="00AA55FE">
              <w:t xml:space="preserve">, Октябрьский, </w:t>
            </w:r>
            <w:proofErr w:type="spellStart"/>
            <w:r w:rsidRPr="00AA55FE">
              <w:t>Нефтеюганский</w:t>
            </w:r>
            <w:proofErr w:type="spellEnd"/>
            <w:r w:rsidRPr="00AA55FE">
              <w:t xml:space="preserve">, Березовский, </w:t>
            </w:r>
            <w:proofErr w:type="spellStart"/>
            <w:r w:rsidRPr="00AA55FE">
              <w:t>Кондинский</w:t>
            </w:r>
            <w:proofErr w:type="spellEnd"/>
            <w:r w:rsidRPr="00AA55FE">
              <w:t>, Белоярский). Жертв и пострадавших нет. Эвакуация населения и отгон животного скота не проводились.</w:t>
            </w:r>
          </w:p>
          <w:p w:rsidR="00A71BA4" w:rsidRPr="00AA55FE" w:rsidRDefault="00A71BA4" w:rsidP="00AA55FE">
            <w:pPr>
              <w:pStyle w:val="a3"/>
              <w:rPr>
                <w:bCs/>
              </w:rPr>
            </w:pPr>
            <w:r w:rsidRPr="00AA55FE">
              <w:t>Материальный ущерб – 135 987,696 тыс. руб. Финансовые затраты – 20 000 тыс. руб.</w:t>
            </w:r>
          </w:p>
        </w:tc>
      </w:tr>
      <w:tr w:rsidR="00A71BA4" w:rsidRPr="00AA55FE" w:rsidTr="00AA55FE">
        <w:tc>
          <w:tcPr>
            <w:tcW w:w="230" w:type="pct"/>
          </w:tcPr>
          <w:p w:rsidR="00A71BA4" w:rsidRPr="00AA55FE" w:rsidRDefault="00A71BA4" w:rsidP="00655B3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A55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2" w:type="pct"/>
          </w:tcPr>
          <w:p w:rsidR="00A71BA4" w:rsidRPr="00AA55FE" w:rsidRDefault="00AA55FE" w:rsidP="00655B36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05.06-</w:t>
            </w:r>
            <w:r w:rsidR="00A71BA4" w:rsidRPr="00AA55FE">
              <w:rPr>
                <w:rFonts w:ascii="Times New Roman" w:hAnsi="Times New Roman"/>
                <w:bCs/>
                <w:sz w:val="24"/>
                <w:szCs w:val="24"/>
              </w:rPr>
              <w:t>10.07.2015</w:t>
            </w:r>
          </w:p>
        </w:tc>
        <w:tc>
          <w:tcPr>
            <w:tcW w:w="3898" w:type="pct"/>
          </w:tcPr>
          <w:p w:rsidR="00A71BA4" w:rsidRPr="00AA55FE" w:rsidRDefault="00A71BA4" w:rsidP="00AA55FE">
            <w:pPr>
              <w:pStyle w:val="a3"/>
            </w:pPr>
            <w:r w:rsidRPr="00AA55FE">
              <w:t>В результате превышения высших уровней воды на большинстве рек среднемноголетних значений максимумов:</w:t>
            </w:r>
          </w:p>
          <w:p w:rsidR="00A71BA4" w:rsidRPr="00AA55FE" w:rsidRDefault="00A71BA4" w:rsidP="00AA55FE">
            <w:pPr>
              <w:pStyle w:val="a3"/>
            </w:pPr>
            <w:proofErr w:type="gramStart"/>
            <w:r w:rsidRPr="00AA55FE">
              <w:t xml:space="preserve">- на 0,6 – 2,04 – р.р. Обь (г. Нижневартовск, г. </w:t>
            </w:r>
            <w:proofErr w:type="spellStart"/>
            <w:r w:rsidRPr="00AA55FE">
              <w:t>Мегион</w:t>
            </w:r>
            <w:proofErr w:type="spellEnd"/>
            <w:r w:rsidRPr="00AA55FE">
              <w:t xml:space="preserve">, г. Сургут, с. </w:t>
            </w:r>
            <w:proofErr w:type="spellStart"/>
            <w:r w:rsidRPr="00AA55FE">
              <w:t>Зенково</w:t>
            </w:r>
            <w:proofErr w:type="spellEnd"/>
            <w:r w:rsidRPr="00AA55FE">
              <w:t xml:space="preserve"> – Ханты-Мансийский район), Иртыш (г. Ханты-Мансийск), </w:t>
            </w:r>
            <w:proofErr w:type="spellStart"/>
            <w:r w:rsidRPr="00AA55FE">
              <w:t>Назым</w:t>
            </w:r>
            <w:proofErr w:type="spellEnd"/>
            <w:r w:rsidRPr="00AA55FE">
              <w:t xml:space="preserve"> (д. </w:t>
            </w:r>
            <w:proofErr w:type="spellStart"/>
            <w:r w:rsidRPr="00AA55FE">
              <w:t>Кышик</w:t>
            </w:r>
            <w:proofErr w:type="spellEnd"/>
            <w:r w:rsidRPr="00AA55FE">
              <w:t xml:space="preserve"> - Ханты-Мансийский район), Большой </w:t>
            </w:r>
            <w:proofErr w:type="spellStart"/>
            <w:r w:rsidRPr="00AA55FE">
              <w:t>Юган</w:t>
            </w:r>
            <w:proofErr w:type="spellEnd"/>
            <w:r w:rsidRPr="00AA55FE">
              <w:t xml:space="preserve"> (с. </w:t>
            </w:r>
            <w:proofErr w:type="spellStart"/>
            <w:r w:rsidRPr="00AA55FE">
              <w:t>Таурово</w:t>
            </w:r>
            <w:proofErr w:type="spellEnd"/>
            <w:r w:rsidRPr="00AA55FE">
              <w:t xml:space="preserve">, с. Угут – </w:t>
            </w:r>
            <w:proofErr w:type="spellStart"/>
            <w:r w:rsidRPr="00AA55FE">
              <w:t>Сургутский</w:t>
            </w:r>
            <w:proofErr w:type="spellEnd"/>
            <w:r w:rsidRPr="00AA55FE">
              <w:t xml:space="preserve"> район);</w:t>
            </w:r>
            <w:proofErr w:type="gramEnd"/>
          </w:p>
          <w:p w:rsidR="00A71BA4" w:rsidRPr="00AA55FE" w:rsidRDefault="00A71BA4" w:rsidP="00AA55FE">
            <w:pPr>
              <w:pStyle w:val="a3"/>
            </w:pPr>
            <w:r w:rsidRPr="00AA55FE">
              <w:t xml:space="preserve">подтопление 517 домов в 6 муниципальных районах (Ханты-Мансийский, </w:t>
            </w:r>
            <w:proofErr w:type="spellStart"/>
            <w:r w:rsidRPr="00AA55FE">
              <w:t>Сургутский</w:t>
            </w:r>
            <w:proofErr w:type="spellEnd"/>
            <w:r w:rsidRPr="00AA55FE">
              <w:t xml:space="preserve">, </w:t>
            </w:r>
            <w:proofErr w:type="spellStart"/>
            <w:r w:rsidRPr="00AA55FE">
              <w:t>Нефтеюганский</w:t>
            </w:r>
            <w:proofErr w:type="spellEnd"/>
            <w:r w:rsidRPr="00AA55FE">
              <w:t xml:space="preserve">, Березовский, </w:t>
            </w:r>
            <w:proofErr w:type="spellStart"/>
            <w:r w:rsidRPr="00AA55FE">
              <w:t>Нижневартовский</w:t>
            </w:r>
            <w:proofErr w:type="spellEnd"/>
            <w:r w:rsidRPr="00AA55FE">
              <w:t xml:space="preserve">, Белоярский). Жертв и пострадавших нет. В г. Нижневартовске в ПВР </w:t>
            </w:r>
            <w:proofErr w:type="gramStart"/>
            <w:r w:rsidRPr="00AA55FE">
              <w:t>эвакуированы</w:t>
            </w:r>
            <w:proofErr w:type="gramEnd"/>
            <w:r w:rsidRPr="00AA55FE">
              <w:t xml:space="preserve"> 83 человека. Финансовые затраты – 112975 тыс. руб.</w:t>
            </w:r>
          </w:p>
        </w:tc>
      </w:tr>
    </w:tbl>
    <w:p w:rsidR="00E725AB" w:rsidRDefault="00E725AB" w:rsidP="00A71BA4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25AB" w:rsidRDefault="00BB1E21" w:rsidP="00A71BA4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Особое внимание хотелось бы обратить в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есенне-л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етние 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половодья 2007 и 2015 гг.,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факторами весенне-лет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него половодья 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Югры</w:t>
      </w:r>
      <w:proofErr w:type="spellEnd"/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ются: осенняя влагозарядка почвы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ма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ксимальные запасы воды в снеге, интен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сивность снеготаяния и осадки в период формирования половодья. Осенью 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2006 и 2014 гг. наблюдался зна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чительный переизбыток влаги в бассейне Иртыша и превышение нормы на большей части округа. За по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следние 40–45 лет продолжитель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ность снежного периода в ок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руге сократи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лась, в то время как во второй половине зимы (февраль-ма</w:t>
      </w:r>
      <w:r w:rsidR="00A71BA4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рт) количество осадков увеличи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лось, наиболее существенное и повсеместное увеличение наблюдается в марте (на 30–80 %). </w:t>
      </w:r>
    </w:p>
    <w:p w:rsidR="00BB1E21" w:rsidRPr="00AA55FE" w:rsidRDefault="00BB1E21" w:rsidP="00A71BA4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июн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ь включительно,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2007 г. на реках округа сложилась очень сложная 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гидр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ометеороло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гическая обстановка. Из-за большого количества осадков в течение длительного времени на всей территории 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Западно-Сибирской</w:t>
      </w:r>
      <w:proofErr w:type="spellEnd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равнины произошло наложение дождевых паводков на волн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у половодья, что привело к фор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мированию высоких уровней воды практически на всех реках территории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Югры</w:t>
      </w:r>
      <w:proofErr w:type="spellEnd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на притоках рек Оби и Иртыша максимум был на 1,0–1,75 м выше нормы. Так, уже к концу мая уровни воды превысили среднемноголетние значения максимальных уровней н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а реках Обь (Нижневартовск, Не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фтеюганск, 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Лемпино</w:t>
      </w:r>
      <w:proofErr w:type="spellEnd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Сытомино</w:t>
      </w:r>
      <w:proofErr w:type="spellEnd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Белогорье), Иртыш (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рноправдинск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Сибирский, Ханты-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Мансийск), 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Конда</w:t>
      </w:r>
      <w:proofErr w:type="spellEnd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Северная Сосьва (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Игрим</w:t>
      </w:r>
      <w:proofErr w:type="spellEnd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Березово</w:t>
      </w:r>
      <w:proofErr w:type="spellEnd"/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). В 20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07 г. в результате весенне-лет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него половодья оказались в зоне подтопления 69 населе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нных пунктов, а также промышлен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ные объекты и дороги на территории 8 муниципальных районов» [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4E115F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с. 303]. </w:t>
      </w:r>
    </w:p>
    <w:p w:rsidR="00E725AB" w:rsidRDefault="004E115F" w:rsidP="00AA55FE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2015 г. 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все реки округа вскрылись до се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редины мая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ранее среднемноголетних значе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ний на 3–11 дней. Теплая погода апреля и мая значительн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 усилила динамику развития по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ловодья. На основных притоках Средней Оби до устья Иртыш высшие уровни воды сформировались значительно раньше среднемноголетних дат, но были в пределах прогноза, только на реках Большой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Юган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Назым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отмечались отметки опасных уровней. Режим весенне-летнего половодья Оби и Иртыша характеризовался более поздним (на 5–15 дней), по сравнению со среднемноголетними датами, формированием высших уровней воды и очень продолжительным периодом затопления речных пойм. П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ри прохождении высоких вод поло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водья в 2015 г. наиболее тяжелые условия сложились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населенных пунктах, располо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женных на Средней Оби (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 и г. Нижневартовск). </w:t>
      </w:r>
    </w:p>
    <w:p w:rsidR="00AA55FE" w:rsidRDefault="004E115F" w:rsidP="00AA55FE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годы 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половодья 2007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2015 гг. основная вода Оби и Иртыша формируется выше по течению, на юге Западной Сибири,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роль транзитного стока усилива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ется. Максимальные уровни воды Иртыша 2015 г. превосходили среднемноголетние значения, но были ниже уровней 2007 г. Учас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ток Нижней Оби в 2015 г. был ме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нее многоводный, чем в 2007 г. (наиболее выда</w:t>
      </w:r>
      <w:r w:rsidR="00BB1E21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ющийся весенний паводок послед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них лет). Это обусловлено малой, нежели в 2007 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г., водностью Иртыша (рис. 1). 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Обычно половодье на Иртыше начинается 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раньше и река 10–15 дней подпи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рает Обь. В конце половодья наблюдается обратный подпор Обью И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ртыша (обычно до середины июля)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с. 46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].</w:t>
      </w:r>
      <w:r w:rsidR="00AA55FE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A55FE" w:rsidRPr="00AA55FE" w:rsidRDefault="00AA55FE" w:rsidP="00AA55FE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2015 г. Иртыш в своем нижнем течении в период прохождения высоких вод находился в подпоре от Оби с 19 июня до 7 июля. В 2015 г. водность реки Средней Оби на участке с.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Соснино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(«на входе» в округ) до устья Иртыша была наибольшей после 1979 г., за исключением Нижневартовска, где уровень воды составил 1061 см, что на 10 см ниже исторического максимума – 1979 г. Это объясняется: </w:t>
      </w:r>
    </w:p>
    <w:p w:rsidR="00AA55FE" w:rsidRPr="00AA55FE" w:rsidRDefault="00AA55FE" w:rsidP="00AA55FE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Большими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снегозапасами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водосборах основных притоков Средней Оби (Томи,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Кети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Чулыма и др.), а также большой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приточностью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Новосибирское водохранилище.</w:t>
      </w:r>
      <w:proofErr w:type="gramEnd"/>
    </w:p>
    <w:p w:rsidR="00AA55FE" w:rsidRPr="00AA55FE" w:rsidRDefault="00AA55FE" w:rsidP="00AA55FE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2. Высокими среднемесячными те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м-</w:t>
      </w:r>
      <w:proofErr w:type="gram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пературами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воздуха и обилием осадков на водосборах рек Средней Оби в период формирования половодья, что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спровоци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ровало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 одновременный сток поверхностных вод в русло принимающей их р. Обь. Максимальный расход на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Новосиби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ском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водохранилище на 12 мая 2015 г. со- ставил 6246 м3/с (соответственно макси-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мальный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приток в водохранилище 11 мая составлял 8143 м3/с), максимальный расход воды на р. Томь на посту Томска составил 11 100 м3/с [22]. </w:t>
      </w:r>
    </w:p>
    <w:p w:rsidR="00BB1E21" w:rsidRPr="00AA55FE" w:rsidRDefault="00BB1E21" w:rsidP="00A71BA4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1E21" w:rsidRPr="00AA55FE" w:rsidRDefault="00BB1E21" w:rsidP="00A71BA4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91101" cy="331321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770" cy="331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E21" w:rsidRPr="00AA55FE" w:rsidRDefault="00BB1E21" w:rsidP="00BB1E21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Рис. 1. Уровни воды р. Иртыш в период половодий 2007, 2015 гг.  на постах Сибирский и Ханты-Мансийск</w:t>
      </w:r>
    </w:p>
    <w:p w:rsidR="004E115F" w:rsidRPr="00AA55FE" w:rsidRDefault="004E115F" w:rsidP="004E115F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основной объем воды в р. Обь поступил из р. Томь (рис. 2), при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этом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волна высоких вод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Оби явилась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следствием волны паводка Томи с наложением волн паводка р. Чулым и других притоков правобер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ежья Оби. С учетом разницы вре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мени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добегания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эти волны и сформировали экстремально высокие уровни воды в районе 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Нижневартовск. </w:t>
      </w:r>
    </w:p>
    <w:p w:rsidR="00BA2CC9" w:rsidRPr="00AA55FE" w:rsidRDefault="00BA2CC9" w:rsidP="00BA2CC9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7340" cy="316969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017" cy="317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CC9" w:rsidRPr="00AA55FE" w:rsidRDefault="00BA2CC9" w:rsidP="00BA2CC9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Рис. 2. Объем воды притоков р. Обь  в период экстремальных уровней  у поста Нижневартовск в 2015 г.</w:t>
      </w:r>
    </w:p>
    <w:p w:rsidR="00DF2736" w:rsidRPr="00AA55FE" w:rsidRDefault="004E115F" w:rsidP="00BA2CC9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Трад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иционно при прогнозировании ис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пользуе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тся  метод соответствующих уров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ней воды, когда сравниваю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тся данные по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стов наблюдений выше и ниже по течению реки. Д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ля крупных транзитных рек Сиби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 – Оби и Иртыша, когда погрешности влияния притоков незначительны и ими можно 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пренебречь</w:t>
      </w:r>
      <w:proofErr w:type="gram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такой метод имеет свои преимущества в оперативности (рис. 3). Методика 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долгосрочного и краткосроч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ного прогноза уровней воды 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Оби и Иртыша разработана Д.А.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Бураковым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 [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BA2CC9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25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]. </w:t>
      </w:r>
    </w:p>
    <w:p w:rsidR="00DF2736" w:rsidRPr="00AA55FE" w:rsidRDefault="004E115F" w:rsidP="00BA2CC9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Мето</w:t>
      </w:r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ды прогноза максимального расхо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да (уровня) воды, как правило, менее точны, чем методы прогноза стока за половодье. Это объясняется, главным образом, тем, что колебания интенсивности снеготаяния от года к году влияют на высоту половодья значительно</w:t>
      </w:r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сильнее, чем на объем весенне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го стока [</w:t>
      </w:r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].</w:t>
      </w:r>
    </w:p>
    <w:p w:rsidR="004E115F" w:rsidRPr="00AA55FE" w:rsidRDefault="004E115F" w:rsidP="00BA2CC9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Зависимость максимального расхода (уровня) в</w:t>
      </w:r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оды от основных факторов (осен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ней влагозарядки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почвогрунтов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максимальных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снегозапасов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  коэффициента дружности весны) не может быть положена в основу методов долгосрочных прогнозов высоты половодья по той причине, что точного детального долгосрочного прогноза интенсивн</w:t>
      </w:r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ости снеготаяния и осадков в пе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риод формирования половодья пока получить нельзя.</w:t>
      </w:r>
    </w:p>
    <w:p w:rsidR="00DF2736" w:rsidRPr="00AA55FE" w:rsidRDefault="007F0756" w:rsidP="004E115F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Предварительный прогноз рисков возникновения ЧС на период </w:t>
      </w:r>
      <w:proofErr w:type="spellStart"/>
      <w:proofErr w:type="gramStart"/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весеннее-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летнего</w:t>
      </w:r>
      <w:proofErr w:type="spellEnd"/>
      <w:proofErr w:type="gram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половодья 2015 г. составлен 5 марта. На основе данных по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снегозапасам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сложившихся за зиму гидрометеорологических условий оценены риски подтопления населенных пунктов, лежащих на притоках Оби и Иртыша. Оценить риски подтопления в населенных пунктах на реках Обь, Иртыш по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снегозапасам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территории округа невозможно, так как весенний сток этих рек формируется на водосборах за пределами автономного округа. </w:t>
      </w:r>
    </w:p>
    <w:p w:rsidR="00DF2736" w:rsidRPr="00AA55FE" w:rsidRDefault="007F0756" w:rsidP="004E115F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Основ</w:t>
      </w:r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ной прогноз по рискам прохожде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ния паводковых вод по округу с детализацией по районам был составлен 4–16 апреля 2015 г. В прогнозе рассмотрены вероятности образования ледяных заторов в период вскрытия рек. Мониторинг и дальнейшие краткосрочные прогнозы развития и продвижения ледохода способствовали проведению ряда превентивных мероприятий по безаварийному пропуску льда (подрывы льда на Иртыше).</w:t>
      </w:r>
      <w:r w:rsidRPr="00AA55FE">
        <w:t xml:space="preserve"> 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весенне-летние половодья 2007, 2015 гг. обусловили необходимость проведения корректировки «Реестра населенных пунктов на территории Хант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ы-</w:t>
      </w:r>
      <w:proofErr w:type="gram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Мансийского автономного округа – </w:t>
      </w:r>
      <w:proofErr w:type="spell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Югры</w:t>
      </w:r>
      <w:proofErr w:type="spell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попадающих в зоны затопления (подтопления), вызванного различными гидрологическими и гидродинамическими явлениями и проце</w:t>
      </w:r>
      <w:r w:rsidR="00DF273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ссами». </w:t>
      </w:r>
    </w:p>
    <w:p w:rsidR="007F0756" w:rsidRPr="00AA55FE" w:rsidRDefault="00DF2736" w:rsidP="004E115F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Предложено внести в Ре</w:t>
      </w:r>
      <w:r w:rsidR="007F075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естр населенные пункты с частотой подтопления не реже 1 раза в 10 лет. В целях повышения качества мониторинга и обеспечения оперативных гидр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оло</w:t>
      </w:r>
      <w:r w:rsidR="007F075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гических прогнозов на территории округа необходимо обеспечить режим доступа для всех 48 </w:t>
      </w:r>
      <w:proofErr w:type="spellStart"/>
      <w:r w:rsidR="007F075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гидропостов</w:t>
      </w:r>
      <w:proofErr w:type="spellEnd"/>
      <w:r w:rsidR="007F075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075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Югры</w:t>
      </w:r>
      <w:proofErr w:type="spellEnd"/>
      <w:r w:rsidR="007F075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, находящихся в системе Росгидромета. В настоящее время в о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перативном режиме доступны дан</w:t>
      </w:r>
      <w:r w:rsidR="007F075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ные только 33. Данные по еще 15 постам закрыты для потребителей и используются только для климатических обработок в системе Росгидромета.</w:t>
      </w:r>
    </w:p>
    <w:p w:rsidR="00EB6B98" w:rsidRPr="00EB6B98" w:rsidRDefault="00EB6B98" w:rsidP="00EB6B98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Ежегодно Главным управлением разрабатывается План мероприятий по смягчению рисков и реагированию на чрезвычайные ситуации в </w:t>
      </w:r>
      <w:proofErr w:type="spellStart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>паводкоопасном</w:t>
      </w:r>
      <w:proofErr w:type="spellEnd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периоде на территории автономного округа.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помощью программы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Light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Wave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составляются возможные сценарии развития паводковой обстановки на все населенные пункты попадающие в зоны возможных подтоплений и размещены в информационной базе оперативной дежурной смены ЦУКС.</w:t>
      </w:r>
    </w:p>
    <w:p w:rsidR="00EB6B98" w:rsidRDefault="00EB6B98" w:rsidP="00EB6B98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автономного округа создана группировка сил и средств, планируемая к проведению мероприятий по смягчению рисков и реагированию на ЧС в </w:t>
      </w:r>
      <w:proofErr w:type="spellStart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>паводкоопасном</w:t>
      </w:r>
      <w:proofErr w:type="spellEnd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периоде, а также привлекаемой к мероприятиям по эвакуации населения в безопасные районы из зон затопления, состав которой ежегодно корректируется. </w:t>
      </w:r>
    </w:p>
    <w:p w:rsidR="00EB6B98" w:rsidRDefault="00EB6B98" w:rsidP="00EB6B98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Главным управлением МЧС России по ХМАО – </w:t>
      </w:r>
      <w:proofErr w:type="spellStart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>Югре</w:t>
      </w:r>
      <w:proofErr w:type="spellEnd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разработано</w:t>
      </w:r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Положение о межведомственной рабочей группе, ежегодно осуществляющей методическую помощь муниципальным образованиям ХМАО – </w:t>
      </w:r>
      <w:proofErr w:type="spellStart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>Югры</w:t>
      </w:r>
      <w:proofErr w:type="spellEnd"/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попадающих в зоны подтопления, по организации подготовки и прохождении паводка и эвакуации населения в безопасные </w:t>
      </w:r>
      <w:r w:rsidRPr="00EB6B9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районы.</w:t>
      </w:r>
    </w:p>
    <w:p w:rsidR="00822B08" w:rsidRPr="00AA55FE" w:rsidRDefault="00822B08" w:rsidP="00EB6B98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эффективного преодоления проблемы затоплений в Ханты-Мансийском </w:t>
      </w:r>
      <w:proofErr w:type="gramStart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автономном</w:t>
      </w:r>
      <w:proofErr w:type="gramEnd"/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округе-Югра необходимо принимать комплекс мер по обустройству водоотводных систем, регуляции уровня водоемов, а также проведению профилактических мероприятий по укреплению берегов. Особое внимание следует уделить предупреждению и мониторингу данных процессов.</w:t>
      </w:r>
    </w:p>
    <w:p w:rsidR="00822B08" w:rsidRPr="00AA55FE" w:rsidRDefault="00822B08" w:rsidP="008D4596">
      <w:pPr>
        <w:widowControl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Затопление территорий Ханты-Мансийского автономного округа-Югра в период весенне-летнего половодья представляет серьезную угрозу для жизни и здоровья людей, а также развития региона. Необходимо принимать срочные меры для предотвращения стихийных бедствий и минимизации их негативного воздействия.</w:t>
      </w:r>
    </w:p>
    <w:p w:rsidR="00B25CCD" w:rsidRPr="00AA55FE" w:rsidRDefault="00B25CCD" w:rsidP="008D4596">
      <w:pPr>
        <w:pStyle w:val="a3"/>
        <w:widowControl w:val="0"/>
        <w:spacing w:line="288" w:lineRule="auto"/>
        <w:ind w:firstLine="709"/>
        <w:jc w:val="both"/>
        <w:rPr>
          <w:szCs w:val="24"/>
          <w:lang w:eastAsia="ru-RU"/>
        </w:rPr>
      </w:pPr>
    </w:p>
    <w:p w:rsidR="00B25CCD" w:rsidRPr="00AA55FE" w:rsidRDefault="00B25CCD" w:rsidP="00D83665">
      <w:pPr>
        <w:pStyle w:val="a3"/>
        <w:widowControl w:val="0"/>
        <w:spacing w:line="288" w:lineRule="auto"/>
        <w:ind w:firstLine="709"/>
        <w:jc w:val="center"/>
        <w:rPr>
          <w:b/>
          <w:szCs w:val="24"/>
          <w:lang w:eastAsia="ru-RU"/>
        </w:rPr>
      </w:pPr>
      <w:r w:rsidRPr="00AA55FE">
        <w:rPr>
          <w:b/>
          <w:szCs w:val="24"/>
          <w:lang w:eastAsia="ru-RU"/>
        </w:rPr>
        <w:t>Лит</w:t>
      </w:r>
      <w:r w:rsidR="00CA6840" w:rsidRPr="00AA55FE">
        <w:rPr>
          <w:b/>
          <w:szCs w:val="24"/>
          <w:lang w:eastAsia="ru-RU"/>
        </w:rPr>
        <w:t>е</w:t>
      </w:r>
      <w:r w:rsidRPr="00AA55FE">
        <w:rPr>
          <w:b/>
          <w:szCs w:val="24"/>
          <w:lang w:eastAsia="ru-RU"/>
        </w:rPr>
        <w:t>ратура:</w:t>
      </w:r>
    </w:p>
    <w:p w:rsidR="006C038A" w:rsidRPr="00AA55FE" w:rsidRDefault="006C038A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Государственный доклад «о состоянии защиты населения и территорий Российской Федерации от чрезвычайных ситуаций природного и техн</w:t>
      </w:r>
      <w:r w:rsidR="003C0338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огенного характера в 2019 году».</w:t>
      </w:r>
    </w:p>
    <w:p w:rsidR="000A6F80" w:rsidRPr="00AA55FE" w:rsidRDefault="00F47F7E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Государственные доклады МЧС России «О состоянии защиты населения и территорий Российской Федерации от чрезвычайных ситуаций природного и техногенного характера» с 2011 по 2023 года, о</w:t>
      </w:r>
      <w:r w:rsidR="006C038A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фициальный сайт МЧС России. Режим доступа: </w:t>
      </w:r>
      <w:hyperlink r:id="rId7" w:history="1">
        <w:r w:rsidR="006C038A" w:rsidRPr="00AA55FE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https://www.mchs.gov.ru/</w:t>
        </w:r>
      </w:hyperlink>
      <w:r w:rsidR="006C038A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B4A05" w:rsidRPr="00AA55FE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Акимов, В. А. Безопасность жизнедеятельности. Безопасность в чрезвычайных ситуациях природного и техногенного </w:t>
      </w:r>
      <w:r w:rsidR="008D459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характера: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учебное пособие / В. А. Акимов, Ю. Л. Воробьев, М. И. Фалеев и др. - </w:t>
      </w:r>
      <w:r w:rsidR="008D459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Москва: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Абрис, 2012. - 592 с. - ISBN 978-5-4372-0049-0. - </w:t>
      </w:r>
      <w:r w:rsidR="008D459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Текст: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 // URL: https://www.rosmedlib.ru/book/ISBN9785437200490.html (дата обращения: 29.01.2024).</w:t>
      </w:r>
    </w:p>
    <w:p w:rsidR="00EB4A05" w:rsidRPr="00AA55FE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Ксенофонтов, Б. С. Подтопление и затопление селитебных территорий: возможные пути </w:t>
      </w:r>
      <w:r w:rsidR="008D459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решения: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монография / Б.С. Ксенофонтов. — </w:t>
      </w:r>
      <w:r w:rsidR="008D459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Москва: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ИНФРА-М, 2022. — 190 с.  — (Научная мысль). — DOI 10.12737/1852911. - ISBN 978-5-16-017431-0. - </w:t>
      </w:r>
      <w:r w:rsidR="008D4596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Текст:</w:t>
      </w: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электронный. - URL: https://znanium.com/catalog/product/1852911 (дата обращения: 28.01.2024). – Режим доступа: по подписке.</w:t>
      </w:r>
    </w:p>
    <w:p w:rsidR="00D83665" w:rsidRPr="00AA55FE" w:rsidRDefault="00D83665" w:rsidP="00D83665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План мероприятий по смягчению рисков и реагированию на чрезвычайные ситуации в период прохождения весенне-летнего половодья на территории Ханты-Мансийского автономного округа-Югры на 2023 год. Доступ из ведомственного источника МЧС России «Система электронного делопроизводства» (дата обращения 15.01.2024).</w:t>
      </w:r>
    </w:p>
    <w:p w:rsidR="00F47F7E" w:rsidRPr="00AA55FE" w:rsidRDefault="00F47F7E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2011 г.</w:t>
      </w:r>
      <w:r w:rsidR="003C0338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F47F7E" w:rsidRPr="00AA55FE" w:rsidRDefault="00F47F7E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2012 г.</w:t>
      </w:r>
      <w:r w:rsidR="003C0338"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F47F7E" w:rsidRPr="004C5D10" w:rsidRDefault="00F47F7E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55FE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</w:t>
      </w: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ем, на территории Ханты-Мансийского автономного округа – Югры в 2013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Прогноз чрезвычайных ситуаций, обусловленных весенне-летним половодьем, на территории Ханты-Мансийского автономного округа – Югры в 20</w:t>
      </w:r>
      <w:r w:rsidR="00F47F7E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2015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2016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2017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2018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2019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2020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2021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2022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EB4A05" w:rsidRPr="004C5D10" w:rsidRDefault="00EB4A05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 чрезвычайных ситуаций, обусловленных весенне-летним половодьем, на территории Ханты-Мансийского автономного округа – Югры в 2023 г.</w:t>
      </w:r>
      <w:r w:rsidR="003C0338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Доступ из ведомственного источника МЧС России «Система электронного делопроизводства» (дата обращения 14.01.2024).</w:t>
      </w:r>
    </w:p>
    <w:p w:rsidR="00CE17AF" w:rsidRDefault="003C0338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ГОСТ Р 22.0.02-94 Безопасность </w:t>
      </w:r>
      <w:r w:rsidR="008D4596"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>в чрезвычайных ситуациях</w:t>
      </w: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Термины и определения основных понятий. Доступ из справочно-правовой системы «Кодекс» </w:t>
      </w:r>
      <w:r w:rsidRPr="004C5D1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URL</w:t>
      </w:r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http</w:t>
        </w:r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: //</w:t>
        </w:r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docs</w:t>
        </w:r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cntd</w:t>
        </w:r>
        <w:proofErr w:type="spellEnd"/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/</w:t>
        </w:r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val="en-US" w:eastAsia="ru-RU"/>
          </w:rPr>
          <w:t>document</w:t>
        </w:r>
        <w:r w:rsidRPr="004C5D10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/1200007426</w:t>
        </w:r>
      </w:hyperlink>
      <w:r w:rsidRPr="004C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(дата обращения 15.01.2024).</w:t>
      </w:r>
    </w:p>
    <w:p w:rsidR="00BB1E21" w:rsidRDefault="00BB1E21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Досанов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С.С., Ткачев Б.П. Влияние особенностей тектоники и морфологии </w:t>
      </w:r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русел рек на экстремальные на-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воднения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ХМАО-Югре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Нефть и газ Западной Сибири: материалы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научно-технической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конф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посвя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щенной 55-летию Тюменского государственного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нефтегазо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вого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университета</w:t>
      </w:r>
      <w:proofErr w:type="gram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О</w:t>
      </w:r>
      <w:proofErr w:type="gram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тв. ред. О.Ф. Данилов. Т. 4. Тюмень: </w:t>
      </w:r>
      <w:proofErr w:type="spellStart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ТюмГНГУ</w:t>
      </w:r>
      <w:proofErr w:type="spellEnd"/>
      <w:r w:rsidRPr="00BB1E21">
        <w:rPr>
          <w:rFonts w:ascii="Times New Roman" w:eastAsia="Calibri" w:hAnsi="Times New Roman" w:cs="Times New Roman"/>
          <w:sz w:val="24"/>
          <w:szCs w:val="24"/>
          <w:lang w:eastAsia="ru-RU"/>
        </w:rPr>
        <w:t>, 2011. С. 302–305.</w:t>
      </w:r>
    </w:p>
    <w:p w:rsidR="00BA2CC9" w:rsidRDefault="00BA2CC9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Ткачев Б.П. Гидродинамические процессы устьевых областей реки Иртыш // Водное хозяйство России: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пробл</w:t>
      </w:r>
      <w:proofErr w:type="gram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мы, технологии, управление. 2015. № 4. С. 44–52.</w:t>
      </w:r>
    </w:p>
    <w:p w:rsidR="00BA2CC9" w:rsidRDefault="00BA2CC9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ПАО «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РусГидро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[Электронный ресурс]. URL: http://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www.rushydro.ru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/polovodie2018/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reki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ob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/?date=2015-05-12 (дата обращения: 20.0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BA2CC9" w:rsidRDefault="00BA2CC9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Бураков Д.А.,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Космакова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В.Ф.,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Волковская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Н.П. Методика долгосрочного прогноза максимальных уровней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воды для р. Обь у г. Нижневартовска и результаты их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исп</w:t>
      </w:r>
      <w:proofErr w:type="gram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таний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Результаты испытаний новых и усовершенствован-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ных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технологий, моделей и методов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гидрометеорологиче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ских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прогнозов. 2017. № 44. С. 152–157.</w:t>
      </w:r>
    </w:p>
    <w:p w:rsidR="00BA2CC9" w:rsidRDefault="00BA2CC9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Бураков Д.А.,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Космакова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В.Ф.,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Волковская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Н.П. Методика долгосрочного прогноза максимальных уровней воды на реке Иртыш и результаты их испытаний //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Резул</w:t>
      </w:r>
      <w:proofErr w:type="gram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таты испытаний новых и усовершенствованных технологий, моделей и методов гидрометеорологических прогнозов. 2019. № 46. С. 71–78.</w:t>
      </w:r>
    </w:p>
    <w:p w:rsidR="00BA2CC9" w:rsidRDefault="00BA2CC9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Бураков Д.А.,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Волковская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Н.П., Иванова О.И. Авт</w:t>
      </w:r>
      <w:proofErr w:type="gram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матизированная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методика краткосрочных прогнозов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уров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ней воды в бассейне Средней Оби и Иртыша //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Гидромете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орологические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исследования и прогнозы. 2019. № 2 (372). С. 129–143.</w:t>
      </w:r>
    </w:p>
    <w:p w:rsidR="00BA2CC9" w:rsidRPr="004C5D10" w:rsidRDefault="00BA2CC9" w:rsidP="00271731">
      <w:pPr>
        <w:pStyle w:val="a6"/>
        <w:widowControl w:val="0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Досанов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С.С., 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качев Б.П. Прогнозы опасных ги</w:t>
      </w:r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дрологических явлений на территории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ХМАО-Югры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// Пр</w:t>
      </w:r>
      <w:proofErr w:type="gram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блемы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природной безопасности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Югры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мониторинг и про-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гнозирование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экстремальных гидрометеорологических явлений и лесных пожаров: сборник статей.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</w:t>
      </w:r>
      <w:proofErr w:type="gram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сийск</w:t>
      </w:r>
      <w:proofErr w:type="spellEnd"/>
      <w:r w:rsidRPr="00BA2CC9">
        <w:rPr>
          <w:rFonts w:ascii="Times New Roman" w:eastAsia="Calibri" w:hAnsi="Times New Roman" w:cs="Times New Roman"/>
          <w:sz w:val="24"/>
          <w:szCs w:val="24"/>
          <w:lang w:eastAsia="ru-RU"/>
        </w:rPr>
        <w:t>, 2008. С. 59–61.</w:t>
      </w:r>
    </w:p>
    <w:sectPr w:rsidR="00BA2CC9" w:rsidRPr="004C5D10" w:rsidSect="006D24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2C64"/>
    <w:multiLevelType w:val="hybridMultilevel"/>
    <w:tmpl w:val="6C927A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133EF5"/>
    <w:multiLevelType w:val="hybridMultilevel"/>
    <w:tmpl w:val="47D65FB4"/>
    <w:lvl w:ilvl="0" w:tplc="C49C1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5CCD"/>
    <w:rsid w:val="000209B1"/>
    <w:rsid w:val="000576F9"/>
    <w:rsid w:val="000634A9"/>
    <w:rsid w:val="000A6F80"/>
    <w:rsid w:val="001169BA"/>
    <w:rsid w:val="001256DD"/>
    <w:rsid w:val="00176CF3"/>
    <w:rsid w:val="00184FFA"/>
    <w:rsid w:val="001E5B03"/>
    <w:rsid w:val="00271731"/>
    <w:rsid w:val="002D474C"/>
    <w:rsid w:val="00300BB5"/>
    <w:rsid w:val="00332708"/>
    <w:rsid w:val="00332DEE"/>
    <w:rsid w:val="00341799"/>
    <w:rsid w:val="00341B5D"/>
    <w:rsid w:val="003562BB"/>
    <w:rsid w:val="003677FF"/>
    <w:rsid w:val="0038346D"/>
    <w:rsid w:val="003B7FCE"/>
    <w:rsid w:val="003C0338"/>
    <w:rsid w:val="003C5B79"/>
    <w:rsid w:val="003D5D52"/>
    <w:rsid w:val="004505D7"/>
    <w:rsid w:val="0047162B"/>
    <w:rsid w:val="00490462"/>
    <w:rsid w:val="004C5D10"/>
    <w:rsid w:val="004E115F"/>
    <w:rsid w:val="00512293"/>
    <w:rsid w:val="0054599B"/>
    <w:rsid w:val="00555A57"/>
    <w:rsid w:val="005A5487"/>
    <w:rsid w:val="005B215D"/>
    <w:rsid w:val="005E3E62"/>
    <w:rsid w:val="005F1415"/>
    <w:rsid w:val="00650898"/>
    <w:rsid w:val="00656A2B"/>
    <w:rsid w:val="0066216D"/>
    <w:rsid w:val="006657E6"/>
    <w:rsid w:val="006C038A"/>
    <w:rsid w:val="006D246A"/>
    <w:rsid w:val="00714907"/>
    <w:rsid w:val="00765865"/>
    <w:rsid w:val="00794B19"/>
    <w:rsid w:val="007F0756"/>
    <w:rsid w:val="00822B08"/>
    <w:rsid w:val="008907F4"/>
    <w:rsid w:val="008D4596"/>
    <w:rsid w:val="008E6EF6"/>
    <w:rsid w:val="0093397D"/>
    <w:rsid w:val="009674B2"/>
    <w:rsid w:val="009A0090"/>
    <w:rsid w:val="009C15D1"/>
    <w:rsid w:val="009F4552"/>
    <w:rsid w:val="00A15481"/>
    <w:rsid w:val="00A40B76"/>
    <w:rsid w:val="00A67D58"/>
    <w:rsid w:val="00A71BA4"/>
    <w:rsid w:val="00A77618"/>
    <w:rsid w:val="00AA55FE"/>
    <w:rsid w:val="00AB402C"/>
    <w:rsid w:val="00AC021B"/>
    <w:rsid w:val="00AC4DFD"/>
    <w:rsid w:val="00B25CCD"/>
    <w:rsid w:val="00B32195"/>
    <w:rsid w:val="00B644AD"/>
    <w:rsid w:val="00BA2599"/>
    <w:rsid w:val="00BA2CC9"/>
    <w:rsid w:val="00BB1E21"/>
    <w:rsid w:val="00BB73D5"/>
    <w:rsid w:val="00BE28F2"/>
    <w:rsid w:val="00C307A2"/>
    <w:rsid w:val="00C87118"/>
    <w:rsid w:val="00CA6840"/>
    <w:rsid w:val="00CE17AF"/>
    <w:rsid w:val="00CE20FB"/>
    <w:rsid w:val="00D026C2"/>
    <w:rsid w:val="00D17C95"/>
    <w:rsid w:val="00D35CAA"/>
    <w:rsid w:val="00D83665"/>
    <w:rsid w:val="00DF2736"/>
    <w:rsid w:val="00E33A50"/>
    <w:rsid w:val="00E351D2"/>
    <w:rsid w:val="00E725AB"/>
    <w:rsid w:val="00E92758"/>
    <w:rsid w:val="00EB4A05"/>
    <w:rsid w:val="00EB6B98"/>
    <w:rsid w:val="00EE3A41"/>
    <w:rsid w:val="00F13005"/>
    <w:rsid w:val="00F14745"/>
    <w:rsid w:val="00F24F2F"/>
    <w:rsid w:val="00F47F7E"/>
    <w:rsid w:val="00FB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5CC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B25CCD"/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2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5C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25CCD"/>
  </w:style>
  <w:style w:type="character" w:styleId="a5">
    <w:name w:val="Hyperlink"/>
    <w:basedOn w:val="a0"/>
    <w:uiPriority w:val="99"/>
    <w:unhideWhenUsed/>
    <w:rsid w:val="00A7761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038A"/>
    <w:pPr>
      <w:ind w:left="720"/>
      <w:contextualSpacing/>
    </w:pPr>
  </w:style>
  <w:style w:type="table" w:customStyle="1" w:styleId="42">
    <w:name w:val="Сетка таблицы42"/>
    <w:basedOn w:val="a1"/>
    <w:uiPriority w:val="59"/>
    <w:rsid w:val="006D2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15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A71BA4"/>
    <w:pPr>
      <w:widowControl w:val="0"/>
      <w:spacing w:after="0" w:line="240" w:lineRule="auto"/>
      <w:ind w:right="72" w:firstLine="24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71B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074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ch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Виктор</cp:lastModifiedBy>
  <cp:revision>8</cp:revision>
  <dcterms:created xsi:type="dcterms:W3CDTF">2024-02-22T16:59:00Z</dcterms:created>
  <dcterms:modified xsi:type="dcterms:W3CDTF">2024-03-08T13:39:00Z</dcterms:modified>
</cp:coreProperties>
</file>