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57C6" w14:textId="55DF154E" w:rsidR="00711286" w:rsidRPr="00EE2249" w:rsidRDefault="00D468D5" w:rsidP="00EE22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Роль дисциплины инженерная графика в проектировании зданий</w:t>
      </w:r>
    </w:p>
    <w:p w14:paraId="61672BEA" w14:textId="77777777" w:rsidR="00D468D5" w:rsidRPr="00EE2249" w:rsidRDefault="00D468D5" w:rsidP="00EE22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E3871F" w14:textId="51521829" w:rsidR="00D468D5" w:rsidRPr="00EE2249" w:rsidRDefault="00D468D5" w:rsidP="00EE22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Мордовская Ольга Петровна</w:t>
      </w:r>
      <w:r w:rsidRPr="00EE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</w:t>
      </w:r>
    </w:p>
    <w:p w14:paraId="546CC058" w14:textId="69844570" w:rsidR="00D468D5" w:rsidRPr="00EE2249" w:rsidRDefault="00210FAE" w:rsidP="00EE22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</w:t>
      </w:r>
      <w:r w:rsidR="00D468D5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реподаватель</w:t>
      </w: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</w:t>
      </w:r>
    </w:p>
    <w:p w14:paraId="73B3ECCC" w14:textId="64729F94" w:rsidR="00D468D5" w:rsidRPr="00EE2249" w:rsidRDefault="00210FAE" w:rsidP="00EE224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КГА ПОУ</w:t>
      </w:r>
      <w:r w:rsidR="00D468D5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</w:t>
      </w:r>
      <w:r w:rsidR="00D468D5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ДВГГТК</w:t>
      </w: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имени Д.М. Карбышева»,</w:t>
      </w:r>
    </w:p>
    <w:p w14:paraId="2BF903D0" w14:textId="23F82F23" w:rsidR="00210FAE" w:rsidRPr="00EE2249" w:rsidRDefault="00210FAE" w:rsidP="00EE2249">
      <w:pPr>
        <w:shd w:val="clear" w:color="auto" w:fill="FFFFFF"/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г. Владивосток</w:t>
      </w:r>
    </w:p>
    <w:p w14:paraId="033527D0" w14:textId="77777777" w:rsidR="00EE2249" w:rsidRPr="00EE2249" w:rsidRDefault="00EE2249" w:rsidP="00EE2249">
      <w:pPr>
        <w:shd w:val="clear" w:color="auto" w:fill="FFFFFF"/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A3A48BB" w14:textId="67C2EBDD" w:rsidR="007B1300" w:rsidRPr="00EE2249" w:rsidRDefault="00C6699E" w:rsidP="005116DD">
      <w:pPr>
        <w:shd w:val="clear" w:color="auto" w:fill="FFFFFF"/>
        <w:tabs>
          <w:tab w:val="left" w:pos="709"/>
          <w:tab w:val="left" w:pos="851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30B1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="00C30B1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Профессионалитет</w:t>
      </w:r>
      <w:r w:rsidR="00DA0A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C30B1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44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30B1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предполагает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применение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принципа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интеграции содержания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технологий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с профессиональной средой,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которая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основана на </w:t>
      </w:r>
      <w:r w:rsidR="00644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скв</w:t>
      </w:r>
      <w:r w:rsidR="000C0E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зном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распределении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изучения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общеобразовательных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="001B79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профессиональных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модулей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течении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всего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периода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обучения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4F7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специальности,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базе образовательной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D408F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организации, так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непосредственно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современном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оборудовании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работодателей, начиная с первого года обучения.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рынке</w:t>
      </w:r>
      <w:proofErr w:type="gramEnd"/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труда</w:t>
      </w:r>
      <w:r w:rsidR="00392B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работодатель</w:t>
      </w:r>
      <w:r w:rsidR="00210FAE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желает получить </w:t>
      </w:r>
      <w:r w:rsidR="00EE21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D64F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компетен</w:t>
      </w:r>
      <w:r w:rsidR="001236D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тнос</w:t>
      </w:r>
      <w:r w:rsidR="000C0E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="001236D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ную модель выпускника в рамках</w:t>
      </w:r>
      <w:r w:rsidR="002B0D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1236D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проекта «Пр</w:t>
      </w:r>
      <w:r w:rsidR="000948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1236D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фессионалитет». </w:t>
      </w:r>
      <w:r w:rsidR="00210FAE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20CD34" w14:textId="604FFB62" w:rsidR="0080563B" w:rsidRPr="00EE2249" w:rsidRDefault="0080563B" w:rsidP="00EE224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7B130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proofErr w:type="gramStart"/>
      <w:r w:rsidR="007B130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наше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B130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время</w:t>
      </w:r>
      <w:proofErr w:type="gramEnd"/>
      <w:r w:rsidR="007B130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D5EDC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востребованными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D5EDC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являются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D5EDC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специалисты,</w:t>
      </w:r>
      <w:r w:rsidR="00210FAE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0655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CD5EDC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способные быстро адаптироваться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42FE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D5EDC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новых динамичных социально-экономических условиях.</w:t>
      </w:r>
      <w:r w:rsidR="00210FAE"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Работодатели </w:t>
      </w:r>
      <w:proofErr w:type="gramStart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заинтересованы</w:t>
      </w:r>
      <w:r w:rsidR="0004338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4338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квалификации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выпускников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 их компетентности,</w:t>
      </w:r>
      <w:r w:rsidR="00E42FE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97FE8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пособности работать в группе, инициативности, умении успешно справляться с различными </w:t>
      </w:r>
      <w:r w:rsidR="004F3D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жизненными и профессиональными ситуациями. Компетентностный подход предъявляет свои требования и к другим компонентам образовательного процесса – содержанию, методам, </w:t>
      </w:r>
      <w:proofErr w:type="gramStart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педагогическим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технологиям</w:t>
      </w:r>
      <w:proofErr w:type="gramEnd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организации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педагогического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процесса.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условиях</w:t>
      </w:r>
      <w:proofErr w:type="gramEnd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655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модульно-компетентностного подхода в пределах отдельного модуля </w:t>
      </w:r>
      <w:r w:rsidR="006218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осуществляется комплексное освоение умений и знаний в рамках формирования конкретной компетенции, которая обеспечивает выполнение конкретной трудовой функции,</w:t>
      </w:r>
      <w:r w:rsidR="009768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отражающей </w:t>
      </w:r>
      <w:r w:rsidR="001C471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запросам работодателей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9D4F00" w14:textId="14981C6D" w:rsidR="00711286" w:rsidRPr="00EE2249" w:rsidRDefault="00210FAE" w:rsidP="00EE2249">
      <w:pPr>
        <w:shd w:val="clear" w:color="auto" w:fill="FFFFFF"/>
        <w:tabs>
          <w:tab w:val="left" w:pos="69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       </w:t>
      </w:r>
      <w:r w:rsidR="001C471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ажнейши</w:t>
      </w:r>
      <w:r w:rsidR="00B72E9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услови</w:t>
      </w:r>
      <w:r w:rsidR="00B72E9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успешного освоения, быстрого внедрения и рационального использования новой техники является умение специалистов выполнять и читать </w:t>
      </w:r>
      <w:r w:rsidR="006449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чертежи, эскизы, схемы и другую техническую документацию. Дисциплина</w:t>
      </w:r>
      <w:r w:rsidR="008E7D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</w:t>
      </w:r>
      <w:proofErr w:type="gramStart"/>
      <w:r w:rsidR="008E7D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proofErr w:type="gramEnd"/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Инженерная графика» в системе технического образования входит в ряд базовых</w:t>
      </w:r>
      <w:r w:rsidR="00D42E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общеобразовательных дисциплин.</w:t>
      </w:r>
    </w:p>
    <w:p w14:paraId="0314EF18" w14:textId="1606DF0B" w:rsidR="00711286" w:rsidRPr="00EE2249" w:rsidRDefault="00711286" w:rsidP="00EE224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Целью изучения дисциплины «Инженерная графика» является формирование представлений о системах ЕСКД и СПДС, умение оформлять и выполнять </w:t>
      </w:r>
      <w:r w:rsidR="001D20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конструкторскую, технологическую и другую техническую документацию. В рамках дисциплины «Инженерная графика» в образовательных учреждениях среднего </w:t>
      </w:r>
      <w:r w:rsidR="0080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профессионального образования изучается и </w:t>
      </w:r>
      <w:r w:rsidR="00F93828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строительное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черчение,</w:t>
      </w:r>
      <w:r w:rsidR="00E42FE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основы </w:t>
      </w:r>
      <w:r w:rsidR="0080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начертательной геометрии, и машиностроительное черчение</w:t>
      </w:r>
      <w:r w:rsidR="00C6699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2353584" w14:textId="03E183FF" w:rsidR="000834C3" w:rsidRPr="00EE2249" w:rsidRDefault="00711286" w:rsidP="00EE224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</w:t>
      </w:r>
      <w:r w:rsidR="00836B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="00414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дисциплина</w:t>
      </w:r>
      <w:proofErr w:type="gramEnd"/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14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относится к </w:t>
      </w:r>
      <w:r w:rsidR="00414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бщепрофессиональным </w:t>
      </w:r>
      <w:r w:rsidR="00414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дисциплинам </w:t>
      </w:r>
      <w:r w:rsidR="00414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профессионального</w:t>
      </w:r>
      <w:r w:rsidR="00520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цикла, предоставляет </w:t>
      </w:r>
      <w:r w:rsidR="000834C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щемся</w:t>
      </w:r>
      <w:r w:rsidR="00520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необходимый</w:t>
      </w:r>
      <w:r w:rsidR="00520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объем </w:t>
      </w:r>
      <w:r w:rsidR="00520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знаний, на базе которых возможно успешное изучение</w:t>
      </w:r>
      <w:r w:rsidR="0026010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834C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специальности 08.02.01 </w:t>
      </w:r>
      <w:r w:rsidR="00807B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="000834C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«Строительство и эксплуатация зданий и сооружений» </w:t>
      </w:r>
      <w:r w:rsidR="0026010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МДК 01.01 </w:t>
      </w:r>
      <w:r w:rsidR="00AD254B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«Проектирование</w:t>
      </w:r>
      <w:r w:rsidR="006B74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AD254B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зданий и сооружений</w:t>
      </w:r>
      <w:r w:rsidR="0026010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и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других технических дисциплин, входящих в профессиональные модули. Таким образом, при изучении содержания дисциплины </w:t>
      </w:r>
      <w:r w:rsidR="0026010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обучающиеся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824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показыва</w:t>
      </w:r>
      <w:r w:rsidR="0026010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ют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применение изучаемых знаний для выполнения определенных </w:t>
      </w:r>
      <w:r w:rsidR="00B820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практических действий, для решения проблем, возникающих в процессе изучения </w:t>
      </w:r>
      <w:r w:rsidR="00B820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других общепрофессиональных дисциплин и профессиональных модулей, а также</w:t>
      </w:r>
      <w:r w:rsidR="00BF0D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проблем, которые могут возникнуть в профессиональной деятельности. Для успешного изучения данной дисциплины необходимо сочетание репродуктивной деятельности</w:t>
      </w:r>
      <w:r w:rsidR="00BF0D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учащихся с активизацией их самостоятельной поисковой деятельности, развитие </w:t>
      </w:r>
      <w:r w:rsidR="00BA55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пространственного мышления, творческого профессионального мышления. </w:t>
      </w:r>
    </w:p>
    <w:p w14:paraId="3FA4D6F5" w14:textId="679BB6F7" w:rsidR="000834C3" w:rsidRPr="00EE2249" w:rsidRDefault="000834C3" w:rsidP="00EE224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hAnsi="Times New Roman" w:cs="Times New Roman"/>
          <w:sz w:val="24"/>
          <w:szCs w:val="24"/>
        </w:rPr>
        <w:t xml:space="preserve">В рамках курса инженерной и компьютерной графики у студентов формируются компетенции в сфере базовой графической подготовки через получение ими </w:t>
      </w:r>
      <w:proofErr w:type="gramStart"/>
      <w:r w:rsidRPr="00EE2249">
        <w:rPr>
          <w:rFonts w:ascii="Times New Roman" w:hAnsi="Times New Roman" w:cs="Times New Roman"/>
          <w:sz w:val="24"/>
          <w:szCs w:val="24"/>
        </w:rPr>
        <w:t>знаний,</w:t>
      </w:r>
      <w:r w:rsidR="00C35A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35A06">
        <w:rPr>
          <w:rFonts w:ascii="Times New Roman" w:hAnsi="Times New Roman" w:cs="Times New Roman"/>
          <w:sz w:val="24"/>
          <w:szCs w:val="24"/>
        </w:rPr>
        <w:t xml:space="preserve"> </w:t>
      </w:r>
      <w:r w:rsidRPr="00EE2249">
        <w:rPr>
          <w:rFonts w:ascii="Times New Roman" w:hAnsi="Times New Roman" w:cs="Times New Roman"/>
          <w:sz w:val="24"/>
          <w:szCs w:val="24"/>
        </w:rPr>
        <w:t xml:space="preserve"> умений и навыков по построению и чтению проекционных, машиностроительных, </w:t>
      </w:r>
      <w:r w:rsidR="00C35A06">
        <w:rPr>
          <w:rFonts w:ascii="Times New Roman" w:hAnsi="Times New Roman" w:cs="Times New Roman"/>
          <w:sz w:val="24"/>
          <w:szCs w:val="24"/>
        </w:rPr>
        <w:t xml:space="preserve">    </w:t>
      </w:r>
      <w:r w:rsidRPr="00EE2249">
        <w:rPr>
          <w:rFonts w:ascii="Times New Roman" w:hAnsi="Times New Roman" w:cs="Times New Roman"/>
          <w:sz w:val="24"/>
          <w:szCs w:val="24"/>
        </w:rPr>
        <w:t>строительных чертежей, отвечающих требованиям стандартизации и унификации.</w:t>
      </w:r>
      <w:r w:rsidR="005052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2249">
        <w:rPr>
          <w:rFonts w:ascii="Times New Roman" w:hAnsi="Times New Roman" w:cs="Times New Roman"/>
          <w:sz w:val="24"/>
          <w:szCs w:val="24"/>
        </w:rPr>
        <w:t xml:space="preserve"> В результате освоения данного курса студент должен знать: теорию и основные правила построения эскизов, чертежей, схем, нанесения надписей, размеров, оформления</w:t>
      </w:r>
      <w:r w:rsidR="00B73D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2249">
        <w:rPr>
          <w:rFonts w:ascii="Times New Roman" w:hAnsi="Times New Roman" w:cs="Times New Roman"/>
          <w:sz w:val="24"/>
          <w:szCs w:val="24"/>
        </w:rPr>
        <w:t xml:space="preserve"> графических изображений, рабочей документации архитектурных и конструктивных </w:t>
      </w:r>
      <w:r w:rsidR="00180250">
        <w:rPr>
          <w:rFonts w:ascii="Times New Roman" w:hAnsi="Times New Roman" w:cs="Times New Roman"/>
          <w:sz w:val="24"/>
          <w:szCs w:val="24"/>
        </w:rPr>
        <w:t xml:space="preserve">     </w:t>
      </w:r>
      <w:r w:rsidRPr="00EE2249">
        <w:rPr>
          <w:rFonts w:ascii="Times New Roman" w:hAnsi="Times New Roman" w:cs="Times New Roman"/>
          <w:sz w:val="24"/>
          <w:szCs w:val="24"/>
        </w:rPr>
        <w:t>решений в соответствии со стандартами ЕСКД и СПДС. Он должен уметь: читать</w:t>
      </w:r>
      <w:r w:rsidR="00AE2C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249">
        <w:rPr>
          <w:rFonts w:ascii="Times New Roman" w:hAnsi="Times New Roman" w:cs="Times New Roman"/>
          <w:sz w:val="24"/>
          <w:szCs w:val="24"/>
        </w:rPr>
        <w:t xml:space="preserve"> чертежи и схемы, выполнять технические изображения в соответствии с требованиями стандартов, эскизы, сборочные чертежи, технические схемы, планы этажей, </w:t>
      </w:r>
      <w:proofErr w:type="gramStart"/>
      <w:r w:rsidRPr="00EE2249">
        <w:rPr>
          <w:rFonts w:ascii="Times New Roman" w:hAnsi="Times New Roman" w:cs="Times New Roman"/>
          <w:sz w:val="24"/>
          <w:szCs w:val="24"/>
        </w:rPr>
        <w:t xml:space="preserve">разрезы, </w:t>
      </w:r>
      <w:r w:rsidR="00F831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831AE">
        <w:rPr>
          <w:rFonts w:ascii="Times New Roman" w:hAnsi="Times New Roman" w:cs="Times New Roman"/>
          <w:sz w:val="24"/>
          <w:szCs w:val="24"/>
        </w:rPr>
        <w:t xml:space="preserve">  </w:t>
      </w:r>
      <w:r w:rsidRPr="00EE2249">
        <w:rPr>
          <w:rFonts w:ascii="Times New Roman" w:hAnsi="Times New Roman" w:cs="Times New Roman"/>
          <w:sz w:val="24"/>
          <w:szCs w:val="24"/>
        </w:rPr>
        <w:t xml:space="preserve">фасады зданий, генеральные и разбивочные планы. В рамках обучения студент должен овладеть способами построения графических изображений, создания чертежей и </w:t>
      </w:r>
      <w:r w:rsidR="00E95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2249">
        <w:rPr>
          <w:rFonts w:ascii="Times New Roman" w:hAnsi="Times New Roman" w:cs="Times New Roman"/>
          <w:sz w:val="24"/>
          <w:szCs w:val="24"/>
        </w:rPr>
        <w:t xml:space="preserve">эскизов, конструкторской документации, проводить расчеты по типовым методикам, проектировать технологическое оборудование с использованием стандартных средств </w:t>
      </w:r>
      <w:r w:rsidR="008209E5">
        <w:rPr>
          <w:rFonts w:ascii="Times New Roman" w:hAnsi="Times New Roman" w:cs="Times New Roman"/>
          <w:sz w:val="24"/>
          <w:szCs w:val="24"/>
        </w:rPr>
        <w:t xml:space="preserve">   </w:t>
      </w:r>
      <w:r w:rsidRPr="00EE2249">
        <w:rPr>
          <w:rFonts w:ascii="Times New Roman" w:hAnsi="Times New Roman" w:cs="Times New Roman"/>
          <w:sz w:val="24"/>
          <w:szCs w:val="24"/>
        </w:rPr>
        <w:t>автоматизации проектирования в соответствии с техническим заданием. Все это важно знать и уметь, поскольку проекты, создаваемые бывшими студентами, профессионалами техниками-строителями не должны нарушать ГОСТ Р 21.101-2020</w:t>
      </w:r>
      <w:r w:rsidR="008B2FFB" w:rsidRPr="00EE2249">
        <w:rPr>
          <w:rFonts w:ascii="Times New Roman" w:hAnsi="Times New Roman" w:cs="Times New Roman"/>
          <w:sz w:val="24"/>
          <w:szCs w:val="24"/>
        </w:rPr>
        <w:t xml:space="preserve"> «Система проектной документации для строительства»</w:t>
      </w:r>
      <w:r w:rsidRPr="00EE2249">
        <w:rPr>
          <w:rFonts w:ascii="Times New Roman" w:hAnsi="Times New Roman" w:cs="Times New Roman"/>
          <w:sz w:val="24"/>
          <w:szCs w:val="24"/>
        </w:rPr>
        <w:t>.</w:t>
      </w:r>
    </w:p>
    <w:p w14:paraId="52CC1CB9" w14:textId="77777777" w:rsidR="006319C6" w:rsidRDefault="00711286" w:rsidP="006319C6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Исходя из задач изучения дисциплины, наиболее подходящей для преподавания рассматриваемой дисциплины является технология проблемно-развивающего обучения. Так же для более эффективного обучения следует внедрять в педагогический процесс элементы других технологий, таких как игровая технология и технология группового обучения. </w:t>
      </w:r>
    </w:p>
    <w:p w14:paraId="5E82EDA5" w14:textId="3A01E74B" w:rsidR="00E42FE4" w:rsidRPr="00EE2249" w:rsidRDefault="006557AC" w:rsidP="006319C6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современных условиях все шире используется внедрение компьютерных</w:t>
      </w:r>
      <w:r w:rsidR="00067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графических программ в учебный процесс. ФГОС СПО для технических специальностей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ставит одной из важнейших задач умение разрабатывать чертежи с использованием </w:t>
      </w:r>
      <w:r w:rsidR="00CC55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информационных технологий.  </w:t>
      </w:r>
      <w:r w:rsidR="0059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омпьютерные технологии являются мощным </w:t>
      </w:r>
      <w:r w:rsidR="001241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инструментом в реализации методов </w:t>
      </w:r>
      <w:r w:rsidR="00D3513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построе</w:t>
      </w:r>
      <w:r w:rsidR="009C7E8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D35132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ия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C7E8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графических объектов, строительных чертежей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позволяют моделировать практически любые конструкции. Таким образом, наши выпускники должны уметь работать в качестве пользователей в графических </w:t>
      </w:r>
      <w:r w:rsidR="003A7C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системах, позволяющих создавать чертежно-конструкторскую документацию.</w:t>
      </w:r>
      <w:r w:rsidR="009C7E84" w:rsidRPr="00EE2249">
        <w:rPr>
          <w:rFonts w:ascii="Times New Roman" w:hAnsi="Times New Roman" w:cs="Times New Roman"/>
          <w:sz w:val="24"/>
          <w:szCs w:val="24"/>
        </w:rPr>
        <w:t xml:space="preserve">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на компьютерах построена так, что студенты не просто изучают графический пакет – AutoCAD или КОМПАС, а продолжают изучение инженерной</w:t>
      </w:r>
      <w:r w:rsidR="00764CE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компьютерной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графики.  </w:t>
      </w:r>
      <w:r w:rsidR="009C7E8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туденты изучают компьютерную графику очень заинтересованно, и даже слабые </w:t>
      </w:r>
      <w:r w:rsidR="000709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на таких занятиях работают с большим интересом. В дальнейшем наши </w:t>
      </w:r>
      <w:r w:rsidR="00722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применяют полученные навыки работы в графических редакторах при </w:t>
      </w:r>
      <w:r w:rsidR="00861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изучении междисциплинарных курсов профессиональных модулей. 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современными </w:t>
      </w:r>
      <w:r w:rsidR="00F53C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информационными технологиями большое будущее,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сегодня предложена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новая </w:t>
      </w:r>
      <w:r w:rsidR="00667F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«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Renga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Professional</w:t>
      </w:r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для дальнейшего обучения студенто</w:t>
      </w:r>
      <w:r w:rsidR="008B2FFB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Start"/>
      <w:r w:rsidR="008B2FFB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1F16ED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 развитие у </w:t>
      </w:r>
      <w:r w:rsidR="0096233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студентов пространственного воображения невозможно, используя только компьютер.  Выполнение работ на бумаге является обязательным, так как каждый технически </w:t>
      </w:r>
      <w:r w:rsidR="004E21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грамотный специалист должен владеть чертежным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инструментом для того, чтобы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94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достичь профессионального творческого мышления, необходимо обучение традиционным</w:t>
      </w:r>
      <w:r w:rsidR="009E4508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графическим приемам.</w:t>
      </w:r>
      <w:r w:rsidR="00E605BC" w:rsidRPr="00EE2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A7317" w:rsidRPr="00EE2249">
        <w:rPr>
          <w:rFonts w:ascii="Times New Roman" w:hAnsi="Times New Roman" w:cs="Times New Roman"/>
          <w:sz w:val="24"/>
          <w:szCs w:val="24"/>
        </w:rPr>
        <w:t xml:space="preserve">      </w:t>
      </w:r>
      <w:r w:rsidR="009E4508" w:rsidRPr="00EE2249">
        <w:rPr>
          <w:rFonts w:ascii="Times New Roman" w:hAnsi="Times New Roman" w:cs="Times New Roman"/>
          <w:sz w:val="24"/>
          <w:szCs w:val="24"/>
        </w:rPr>
        <w:t xml:space="preserve">       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     </w:t>
      </w:r>
      <w:r w:rsidR="00380DC3" w:rsidRPr="00EE2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1783" w:rsidRPr="00EE2249">
        <w:rPr>
          <w:rFonts w:ascii="Times New Roman" w:hAnsi="Times New Roman" w:cs="Times New Roman"/>
          <w:sz w:val="24"/>
          <w:szCs w:val="24"/>
        </w:rPr>
        <w:t xml:space="preserve">    </w:t>
      </w:r>
      <w:r w:rsidR="00E42FE4" w:rsidRPr="00EE224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5D28703" w14:textId="3552376F" w:rsidR="00E42FE4" w:rsidRPr="00EE2249" w:rsidRDefault="004C6BF6" w:rsidP="00EE22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Графическая подготовка является постоянной для технических специальностей на протяжении всего периода обучения, и на базе «Инженерной графики», «строительного черчения» на 2-м курсе выполняется в МДК01.01 «Проектировании зданий и </w:t>
      </w:r>
      <w:r w:rsidR="005517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сооружений» курсовой проект, а на 3-м   дипломное проектирование в рамках </w:t>
      </w:r>
      <w:r w:rsidR="00A03E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профессиональных модулей, </w:t>
      </w:r>
      <w:r w:rsidRPr="00EE2249">
        <w:rPr>
          <w:rFonts w:ascii="Times New Roman" w:hAnsi="Times New Roman" w:cs="Times New Roman"/>
          <w:sz w:val="24"/>
          <w:szCs w:val="24"/>
        </w:rPr>
        <w:t>т</w:t>
      </w:r>
      <w:r w:rsidR="00B91EE3" w:rsidRPr="00EE2249">
        <w:rPr>
          <w:rFonts w:ascii="Times New Roman" w:hAnsi="Times New Roman" w:cs="Times New Roman"/>
          <w:sz w:val="24"/>
          <w:szCs w:val="24"/>
        </w:rPr>
        <w:t>аким образом, пройдя через изучение дисциплин</w:t>
      </w:r>
      <w:r w:rsidR="001128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«инженерная графика», «строительное черчение» у студентов строительной </w:t>
      </w:r>
      <w:r w:rsidR="000079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61783" w:rsidRPr="00EE2249">
        <w:rPr>
          <w:rFonts w:ascii="Times New Roman" w:hAnsi="Times New Roman" w:cs="Times New Roman"/>
          <w:sz w:val="24"/>
          <w:szCs w:val="24"/>
        </w:rPr>
        <w:t>формируются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необходимые знания и умения работать в проектировании зданий и сооружений над индивидуальным курсовым проектом, необходим</w:t>
      </w:r>
      <w:r w:rsidR="00261783" w:rsidRPr="00EE2249">
        <w:rPr>
          <w:rFonts w:ascii="Times New Roman" w:hAnsi="Times New Roman" w:cs="Times New Roman"/>
          <w:sz w:val="24"/>
          <w:szCs w:val="24"/>
        </w:rPr>
        <w:t>ые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для </w:t>
      </w:r>
      <w:r w:rsidR="00B73D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1EE3" w:rsidRPr="00EE2249">
        <w:rPr>
          <w:rFonts w:ascii="Times New Roman" w:hAnsi="Times New Roman" w:cs="Times New Roman"/>
          <w:sz w:val="24"/>
          <w:szCs w:val="24"/>
        </w:rPr>
        <w:t>создания и</w:t>
      </w:r>
      <w:r w:rsidR="000079B4">
        <w:rPr>
          <w:rFonts w:ascii="Times New Roman" w:hAnsi="Times New Roman" w:cs="Times New Roman"/>
          <w:sz w:val="24"/>
          <w:szCs w:val="24"/>
        </w:rPr>
        <w:t xml:space="preserve">     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чтения чертежей</w:t>
      </w:r>
      <w:r w:rsidR="00261783" w:rsidRPr="00EE2249">
        <w:rPr>
          <w:rFonts w:ascii="Times New Roman" w:hAnsi="Times New Roman" w:cs="Times New Roman"/>
          <w:sz w:val="24"/>
          <w:szCs w:val="24"/>
        </w:rPr>
        <w:t>.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</w:t>
      </w:r>
      <w:r w:rsidR="00261783" w:rsidRPr="00EE2249">
        <w:rPr>
          <w:rFonts w:ascii="Times New Roman" w:hAnsi="Times New Roman" w:cs="Times New Roman"/>
          <w:sz w:val="24"/>
          <w:szCs w:val="24"/>
        </w:rPr>
        <w:t>П</w:t>
      </w:r>
      <w:r w:rsidR="00B91EE3" w:rsidRPr="00EE2249">
        <w:rPr>
          <w:rFonts w:ascii="Times New Roman" w:hAnsi="Times New Roman" w:cs="Times New Roman"/>
          <w:sz w:val="24"/>
          <w:szCs w:val="24"/>
        </w:rPr>
        <w:t>рименения их на практике, способств</w:t>
      </w:r>
      <w:r w:rsidR="00261783" w:rsidRPr="00EE2249">
        <w:rPr>
          <w:rFonts w:ascii="Times New Roman" w:hAnsi="Times New Roman" w:cs="Times New Roman"/>
          <w:sz w:val="24"/>
          <w:szCs w:val="24"/>
        </w:rPr>
        <w:t>ует</w:t>
      </w:r>
      <w:r w:rsidR="00B91EE3" w:rsidRPr="00EE2249">
        <w:rPr>
          <w:rFonts w:ascii="Times New Roman" w:hAnsi="Times New Roman" w:cs="Times New Roman"/>
          <w:sz w:val="24"/>
          <w:szCs w:val="24"/>
        </w:rPr>
        <w:t xml:space="preserve"> профессионализму выпускников техников-строителей, их конкурентоспособности на рынке труда.   </w:t>
      </w:r>
    </w:p>
    <w:p w14:paraId="71D23D6E" w14:textId="02409058" w:rsidR="006423B0" w:rsidRPr="00EE2249" w:rsidRDefault="00711286" w:rsidP="00EE2249">
      <w:p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Через графическую деятельность реализуются одновременно такие </w:t>
      </w:r>
      <w:r w:rsidR="00346E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познавательные процессы, как ощущение, восприятие, представление, мышление. </w:t>
      </w:r>
      <w:r w:rsidR="002C0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пространственного мышления имеет особую значимость</w:t>
      </w:r>
      <w:r w:rsidR="005A7317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дальнейшем</w:t>
      </w:r>
      <w:r w:rsidR="009321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="005A7317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изучении МДК 01.01 «Проектирование зданий и сооружений»</w:t>
      </w:r>
      <w:r w:rsidR="00400D9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Получая задание на</w:t>
      </w:r>
      <w:r w:rsidR="009321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индивидуальные курсовые проек</w:t>
      </w:r>
      <w:r w:rsidR="004C6BF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ы, обучающие применяют знания, умения, 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ранее</w:t>
      </w:r>
      <w:r w:rsidR="00973E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полученные</w:t>
      </w:r>
      <w:r w:rsidR="00147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proofErr w:type="gramEnd"/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47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дисциплинах</w:t>
      </w:r>
      <w:r w:rsidR="00147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Инженерная </w:t>
      </w:r>
      <w:r w:rsidR="00147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B58A5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графика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</w:t>
      </w:r>
      <w:r w:rsidR="00147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«Черчение».</w:t>
      </w:r>
    </w:p>
    <w:p w14:paraId="32140624" w14:textId="1F3BB7FD" w:rsidR="00051548" w:rsidRDefault="006423B0" w:rsidP="0059660A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r w:rsidR="00885C1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Приступая к его выполнению</w:t>
      </w:r>
      <w:r w:rsidR="002B02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B02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адание усложняется так, как вначале студенты его выполняют </w:t>
      </w:r>
      <w:r w:rsidR="00885C1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впервые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Формате А1, и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843A3A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пользуя чертежные инструменты 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достижения профессионального творческого мышления. Для этого необходимо </w:t>
      </w:r>
      <w:r w:rsidR="00B358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закрепление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D76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графически</w:t>
      </w:r>
      <w:r w:rsidR="00B358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прием</w:t>
      </w:r>
      <w:r w:rsidR="00B358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="00E4744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разработки планов, фасадов, разрезов по заданию.</w:t>
      </w:r>
      <w:r w:rsidR="001200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B1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  <w:r w:rsidR="001200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C0E9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графическому</w:t>
      </w:r>
      <w:r w:rsidR="00AD76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="004C0E9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листу вторым разделом добавляется пояснительная записка с </w:t>
      </w:r>
      <w:r w:rsidR="007C33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66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7C33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описанием, спецификациями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подбором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констру</w:t>
      </w:r>
      <w:r w:rsid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тивных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элементов по </w:t>
      </w:r>
      <w:proofErr w:type="gramStart"/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ГОСТам,</w:t>
      </w:r>
      <w:r w:rsidR="00FC2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proofErr w:type="gramEnd"/>
      <w:r w:rsidR="00FC2B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="004C0E9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расчетами к чертежу.</w:t>
      </w:r>
      <w:r w:rsidR="00A7400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Часть времени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курсовому проекту</w:t>
      </w:r>
      <w:r w:rsidR="00A7400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0DD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отводится на </w:t>
      </w:r>
      <w:r w:rsidR="000770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  <w:r w:rsidR="001A0DD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самостоятельную работу, в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связи с этим возник</w:t>
      </w:r>
      <w:r w:rsidR="001A0DD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ла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необходимость учебно-методической разработки</w:t>
      </w:r>
      <w:r w:rsidR="001A0DD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«Рекомендации по выполнению курсового проект</w:t>
      </w:r>
      <w:r w:rsidR="00E42FE4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0DD1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студентов</w:t>
      </w:r>
      <w:r w:rsidR="00CF0FF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специальности 08.02.01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«Строительство и</w:t>
      </w:r>
      <w:r w:rsidR="00CF0FF3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эксплуатация зданий и сооружений»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которая</w:t>
      </w:r>
      <w:r w:rsidR="00E245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способств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ует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полному </w:t>
      </w:r>
      <w:proofErr w:type="gramStart"/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освоению</w:t>
      </w:r>
      <w:r w:rsidR="007C33F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учебного</w:t>
      </w:r>
      <w:proofErr w:type="gramEnd"/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материала студентами, 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выполнению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96D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графическ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ой </w:t>
      </w:r>
      <w:r w:rsidR="00EE2249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части и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пояснительной записки</w:t>
      </w:r>
      <w:r w:rsidR="00711286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50F90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</w:p>
    <w:p w14:paraId="453C67F9" w14:textId="5622A308" w:rsidR="00B714E2" w:rsidRPr="00EE2249" w:rsidRDefault="00B714E2" w:rsidP="0059660A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Выполнив архитектурный раздел по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курсовому проектированию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МДК 01.01 «Проектирование зданий и сооружений» на формате А1 вручную, студенты приступают к работе автоматизированных систем, после такой работы обучающимся легче</w:t>
      </w:r>
      <w:r w:rsidR="00464A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выполнить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этот же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курсовой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в пр</w:t>
      </w:r>
      <w:r w:rsidR="005966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грамме AutoCAD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Архитектурный проект </w:t>
      </w:r>
      <w:r w:rsidR="00A5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базовым материалом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разработки курсового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проекта по строительным </w:t>
      </w:r>
      <w:r w:rsidR="003B56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конструкциям и проекта производства работ. Завершая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глобальную работу выполнения курсовых работ других профессиональных модулей,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студенты подготавливаются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</w:t>
      </w:r>
      <w:r w:rsidR="00BA63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дипломному проектированию.</w:t>
      </w:r>
    </w:p>
    <w:p w14:paraId="396D8D94" w14:textId="098EF214" w:rsidR="00B714E2" w:rsidRPr="00EE2249" w:rsidRDefault="00B714E2" w:rsidP="0059660A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современный учебный процесс направлен на формирование у </w:t>
      </w:r>
      <w:r w:rsidR="00372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студентов не только графической грамоты, но и на освоение новых информационных технологий. Наши основные направления работы по реализации ФГОС СПО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это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76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активизация поведения и мышления обучающихся, развитие интереса к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техническим дисциплинам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924FAE"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вовлечение в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познавательный поиск, умение самостоятельно находить и перерабатывать информацию, развивать индивидуальные способности.</w:t>
      </w:r>
    </w:p>
    <w:p w14:paraId="3ADD439A" w14:textId="77777777" w:rsidR="00B714E2" w:rsidRPr="00EE2249" w:rsidRDefault="00B714E2" w:rsidP="0059660A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38EDFF" w14:textId="77777777" w:rsidR="00E00765" w:rsidRDefault="00E00765" w:rsidP="00257B68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C6E9FB1" w14:textId="77777777" w:rsidR="00E00765" w:rsidRDefault="00E00765" w:rsidP="00257B68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922C20" w14:textId="77777777" w:rsidR="00E00765" w:rsidRDefault="00E00765" w:rsidP="00257B68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B89C34" w14:textId="77777777" w:rsidR="00E00765" w:rsidRDefault="00E00765" w:rsidP="00257B68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6D892D" w14:textId="77777777" w:rsidR="00E00765" w:rsidRDefault="00E00765" w:rsidP="00257B68">
      <w:pPr>
        <w:shd w:val="clear" w:color="auto" w:fill="FFFFFF"/>
        <w:spacing w:after="0" w:line="360" w:lineRule="auto"/>
        <w:ind w:firstLine="70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7746CE" w14:textId="6B2703A7" w:rsidR="00B714E2" w:rsidRPr="00EE2249" w:rsidRDefault="00B714E2" w:rsidP="009429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Литература</w:t>
      </w:r>
    </w:p>
    <w:p w14:paraId="5EA61EBD" w14:textId="0AB4B924" w:rsidR="00B714E2" w:rsidRPr="00924FAE" w:rsidRDefault="00B714E2" w:rsidP="00924FA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</w:pPr>
      <w:r w:rsidRPr="00924FAE">
        <w:rPr>
          <w:rFonts w:ascii="Times New Roman" w:hAnsi="Times New Roman" w:cs="Times New Roman"/>
          <w:sz w:val="24"/>
          <w:szCs w:val="24"/>
        </w:rPr>
        <w:t xml:space="preserve">Инженерная графика. Курс лекций: учебное пособие / Л.А. Феоктистова, Т.В. Рева, М.М. </w:t>
      </w:r>
      <w:proofErr w:type="spellStart"/>
      <w:r w:rsidRPr="00924FAE">
        <w:rPr>
          <w:rFonts w:ascii="Times New Roman" w:hAnsi="Times New Roman" w:cs="Times New Roman"/>
          <w:sz w:val="24"/>
          <w:szCs w:val="24"/>
        </w:rPr>
        <w:t>Гимадеев</w:t>
      </w:r>
      <w:proofErr w:type="spellEnd"/>
      <w:r w:rsidRPr="00924FAE">
        <w:rPr>
          <w:rFonts w:ascii="Times New Roman" w:hAnsi="Times New Roman" w:cs="Times New Roman"/>
          <w:sz w:val="24"/>
          <w:szCs w:val="24"/>
        </w:rPr>
        <w:t>: под редакцией И.П. Талиповой–Набережные Челны: Издательско-полиграфический центр Набережночелнинского института К(П)ФУ, 2018. – 172с.</w:t>
      </w:r>
      <w:r w:rsidRPr="00924FAE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 xml:space="preserve"> </w:t>
      </w:r>
    </w:p>
    <w:p w14:paraId="25F61101" w14:textId="1396E837" w:rsidR="00B714E2" w:rsidRPr="00924FAE" w:rsidRDefault="00B714E2" w:rsidP="00924FA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FAE">
        <w:rPr>
          <w:rFonts w:ascii="Times New Roman" w:hAnsi="Times New Roman" w:cs="Times New Roman"/>
          <w:sz w:val="24"/>
          <w:szCs w:val="24"/>
          <w:bdr w:val="single" w:sz="2" w:space="0" w:color="E5E7EB" w:frame="1"/>
          <w:shd w:val="clear" w:color="auto" w:fill="FFFFFF"/>
        </w:rPr>
        <w:t>Мирошин, Д. Г. </w:t>
      </w:r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строительного черчения: учебное пособие для среднего профессионального образования / Д. Г. Мирошин, Н. Н. </w:t>
      </w:r>
      <w:proofErr w:type="spellStart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Мичурова</w:t>
      </w:r>
      <w:proofErr w:type="spellEnd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, Н. С. </w:t>
      </w:r>
      <w:proofErr w:type="spellStart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Мичуров</w:t>
      </w:r>
      <w:proofErr w:type="spellEnd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924FAE">
        <w:rPr>
          <w:rFonts w:ascii="Times New Roman" w:hAnsi="Times New Roman" w:cs="Times New Roman"/>
          <w:sz w:val="24"/>
          <w:szCs w:val="24"/>
          <w:shd w:val="clear" w:color="auto" w:fill="FFFFFF"/>
        </w:rPr>
        <w:t>, 2024. — 281 с. </w:t>
      </w:r>
    </w:p>
    <w:p w14:paraId="7FB14D8F" w14:textId="1CD5E893" w:rsidR="00B714E2" w:rsidRPr="00924FAE" w:rsidRDefault="00B714E2" w:rsidP="00924F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Миронова Р. С., Миронова Б. Г. Инженерная графика. – М.: Высшая школа, 2001.</w:t>
      </w:r>
      <w:r w:rsidRPr="00924FAE">
        <w:rPr>
          <w:rFonts w:ascii="Times New Roman" w:hAnsi="Times New Roman" w:cs="Times New Roman"/>
          <w:sz w:val="24"/>
          <w:szCs w:val="24"/>
        </w:rPr>
        <w:t xml:space="preserve"> Архитектура гражданских полносборных зданий: учебное пособие / З.С. </w:t>
      </w:r>
      <w:proofErr w:type="spellStart"/>
      <w:r w:rsidRPr="00924FAE">
        <w:rPr>
          <w:rFonts w:ascii="Times New Roman" w:hAnsi="Times New Roman" w:cs="Times New Roman"/>
          <w:sz w:val="24"/>
          <w:szCs w:val="24"/>
        </w:rPr>
        <w:t>Адигамова</w:t>
      </w:r>
      <w:proofErr w:type="spellEnd"/>
      <w:r w:rsidRPr="00924FAE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924FAE">
        <w:rPr>
          <w:rFonts w:ascii="Times New Roman" w:hAnsi="Times New Roman" w:cs="Times New Roman"/>
          <w:sz w:val="24"/>
          <w:szCs w:val="24"/>
        </w:rPr>
        <w:t>Лихненко</w:t>
      </w:r>
      <w:proofErr w:type="spellEnd"/>
      <w:r w:rsidRPr="00924FAE">
        <w:rPr>
          <w:rFonts w:ascii="Times New Roman" w:hAnsi="Times New Roman" w:cs="Times New Roman"/>
          <w:sz w:val="24"/>
          <w:szCs w:val="24"/>
        </w:rPr>
        <w:t xml:space="preserve">; Оренбургский гос. ун-т. – Оренбург: ОГУ, 2019. – 127с. </w:t>
      </w:r>
    </w:p>
    <w:p w14:paraId="2B1CF5C4" w14:textId="3038B93E" w:rsidR="00B714E2" w:rsidRPr="00924FAE" w:rsidRDefault="00B714E2" w:rsidP="00924F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Чекмарев А. А., Осипов В. К. Инженерная графика: справочные материалы.</w:t>
      </w:r>
      <w:bookmarkStart w:id="0" w:name="_Hlk166678040"/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bookmarkEnd w:id="0"/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М.: Гуманитарный издательский центр “</w:t>
      </w:r>
      <w:proofErr w:type="spellStart"/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Владос</w:t>
      </w:r>
      <w:proofErr w:type="spellEnd"/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”, 2002.</w:t>
      </w:r>
    </w:p>
    <w:p w14:paraId="110D2524" w14:textId="7CC4D72C" w:rsidR="00B714E2" w:rsidRDefault="00B714E2" w:rsidP="00924F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Чекмарев А. А. Осипов В. К. Справочник</w:t>
      </w:r>
      <w:r w:rsidRPr="00EE22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машиностроительному черчению. – М.: Высшая школа, 2000.</w:t>
      </w:r>
    </w:p>
    <w:p w14:paraId="014C8483" w14:textId="77777777" w:rsidR="00766D90" w:rsidRDefault="003D5A8A" w:rsidP="00924F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Вильчик Н.П. Архитектура зданий: Учебник.</w:t>
      </w:r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66678114"/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М.: ИНФРА-М, 2008.</w:t>
      </w:r>
      <w:bookmarkStart w:id="2" w:name="_Hlk166678148"/>
      <w:r w:rsidRPr="003D5A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303 с.</w:t>
      </w:r>
      <w:r w:rsidR="00766D90" w:rsidRPr="003D5A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66D90" w:rsidRPr="00924F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766D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(Среднее профессиональное образование).</w:t>
      </w:r>
    </w:p>
    <w:p w14:paraId="5CA88153" w14:textId="00636CAB" w:rsidR="003D5A8A" w:rsidRPr="00EE2249" w:rsidRDefault="00766D90" w:rsidP="00924FA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568DC0" w14:textId="75F91C25" w:rsidR="00B714E2" w:rsidRPr="00EE2249" w:rsidRDefault="00B714E2" w:rsidP="00257B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CB8E33" w14:textId="09D456D6" w:rsidR="00B714E2" w:rsidRPr="00EE2249" w:rsidRDefault="00B714E2" w:rsidP="00EE2249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B714E2" w:rsidRPr="00EE2249" w:rsidSect="005116DD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166018DF" w14:textId="59EC93D1" w:rsidR="00051548" w:rsidRPr="00B714E2" w:rsidRDefault="00B714E2" w:rsidP="00B714E2">
      <w:pPr>
        <w:tabs>
          <w:tab w:val="left" w:pos="56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</w:t>
      </w:r>
    </w:p>
    <w:p w14:paraId="450E0630" w14:textId="77777777" w:rsidR="00051548" w:rsidRPr="00EE2249" w:rsidRDefault="00051548" w:rsidP="00EE2249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874D2" wp14:editId="09BCB0BC">
            <wp:extent cx="9251950" cy="57975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A999" w14:textId="77777777" w:rsidR="009A00FD" w:rsidRPr="00EE2249" w:rsidRDefault="009A00FD" w:rsidP="00EE2249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A3726" wp14:editId="08419D71">
            <wp:extent cx="9251950" cy="50507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ADFE" w14:textId="77777777" w:rsidR="00EF1F62" w:rsidRPr="00EE2249" w:rsidRDefault="00EF1F62" w:rsidP="00EE2249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FB0300" w14:textId="67502F58" w:rsidR="00C96E41" w:rsidRPr="00EE2249" w:rsidRDefault="00EF1F62" w:rsidP="00EE2249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22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05650" wp14:editId="249C265D">
            <wp:extent cx="8314055" cy="6299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405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E41" w:rsidRPr="00EE2249" w:rsidSect="00924F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68"/>
    <w:rsid w:val="000079B4"/>
    <w:rsid w:val="000107F4"/>
    <w:rsid w:val="00010D73"/>
    <w:rsid w:val="00014D36"/>
    <w:rsid w:val="0002677E"/>
    <w:rsid w:val="00043381"/>
    <w:rsid w:val="00051548"/>
    <w:rsid w:val="000655CB"/>
    <w:rsid w:val="00067A62"/>
    <w:rsid w:val="00070980"/>
    <w:rsid w:val="0007703A"/>
    <w:rsid w:val="000834C3"/>
    <w:rsid w:val="00094883"/>
    <w:rsid w:val="000B0C8F"/>
    <w:rsid w:val="000C0E45"/>
    <w:rsid w:val="001128E7"/>
    <w:rsid w:val="00120088"/>
    <w:rsid w:val="001236D5"/>
    <w:rsid w:val="0012419D"/>
    <w:rsid w:val="00137676"/>
    <w:rsid w:val="001470D5"/>
    <w:rsid w:val="001471B7"/>
    <w:rsid w:val="00180250"/>
    <w:rsid w:val="00197FE8"/>
    <w:rsid w:val="001A0DD1"/>
    <w:rsid w:val="001B79B9"/>
    <w:rsid w:val="001C4715"/>
    <w:rsid w:val="001D206F"/>
    <w:rsid w:val="001D64FE"/>
    <w:rsid w:val="001F16ED"/>
    <w:rsid w:val="00210FAE"/>
    <w:rsid w:val="002215CA"/>
    <w:rsid w:val="0022412B"/>
    <w:rsid w:val="00257B68"/>
    <w:rsid w:val="00260103"/>
    <w:rsid w:val="00261783"/>
    <w:rsid w:val="002B0248"/>
    <w:rsid w:val="002B0DB4"/>
    <w:rsid w:val="002C0D39"/>
    <w:rsid w:val="002C5A4F"/>
    <w:rsid w:val="002E148C"/>
    <w:rsid w:val="00302062"/>
    <w:rsid w:val="00346E7E"/>
    <w:rsid w:val="00367E3A"/>
    <w:rsid w:val="00372436"/>
    <w:rsid w:val="00372E24"/>
    <w:rsid w:val="00380DC3"/>
    <w:rsid w:val="00392BC3"/>
    <w:rsid w:val="00396D54"/>
    <w:rsid w:val="003A7C01"/>
    <w:rsid w:val="003B5699"/>
    <w:rsid w:val="003D5A8A"/>
    <w:rsid w:val="003F1CB0"/>
    <w:rsid w:val="00400D9A"/>
    <w:rsid w:val="00412584"/>
    <w:rsid w:val="00414A88"/>
    <w:rsid w:val="00435B9E"/>
    <w:rsid w:val="00450F90"/>
    <w:rsid w:val="004557FC"/>
    <w:rsid w:val="00464A49"/>
    <w:rsid w:val="004A5EFB"/>
    <w:rsid w:val="004C0E93"/>
    <w:rsid w:val="004C2221"/>
    <w:rsid w:val="004C6BF6"/>
    <w:rsid w:val="004E21E4"/>
    <w:rsid w:val="004F3D4A"/>
    <w:rsid w:val="005052E6"/>
    <w:rsid w:val="005116DD"/>
    <w:rsid w:val="00511E23"/>
    <w:rsid w:val="005169D2"/>
    <w:rsid w:val="005205B3"/>
    <w:rsid w:val="00521B1B"/>
    <w:rsid w:val="00551754"/>
    <w:rsid w:val="00591846"/>
    <w:rsid w:val="0059660A"/>
    <w:rsid w:val="005A7317"/>
    <w:rsid w:val="005D0C38"/>
    <w:rsid w:val="00600CFD"/>
    <w:rsid w:val="00605882"/>
    <w:rsid w:val="00617168"/>
    <w:rsid w:val="006218F7"/>
    <w:rsid w:val="006319C6"/>
    <w:rsid w:val="00631E86"/>
    <w:rsid w:val="006423B0"/>
    <w:rsid w:val="0064494C"/>
    <w:rsid w:val="00644B20"/>
    <w:rsid w:val="006557AC"/>
    <w:rsid w:val="006576A0"/>
    <w:rsid w:val="00667F8D"/>
    <w:rsid w:val="006755BE"/>
    <w:rsid w:val="00693BBC"/>
    <w:rsid w:val="00694DAA"/>
    <w:rsid w:val="006B7422"/>
    <w:rsid w:val="006F2BD1"/>
    <w:rsid w:val="00701D0B"/>
    <w:rsid w:val="00711286"/>
    <w:rsid w:val="00722B39"/>
    <w:rsid w:val="00736FDB"/>
    <w:rsid w:val="007457C1"/>
    <w:rsid w:val="00764CEE"/>
    <w:rsid w:val="00766D90"/>
    <w:rsid w:val="007B11EF"/>
    <w:rsid w:val="007B1300"/>
    <w:rsid w:val="007C33F5"/>
    <w:rsid w:val="0080563B"/>
    <w:rsid w:val="00806D5E"/>
    <w:rsid w:val="00807B98"/>
    <w:rsid w:val="008209E5"/>
    <w:rsid w:val="00836B99"/>
    <w:rsid w:val="00843A3A"/>
    <w:rsid w:val="00861D17"/>
    <w:rsid w:val="0087289E"/>
    <w:rsid w:val="00885C1A"/>
    <w:rsid w:val="008B2FFB"/>
    <w:rsid w:val="008E7D6E"/>
    <w:rsid w:val="009161BA"/>
    <w:rsid w:val="00924FAE"/>
    <w:rsid w:val="0093211A"/>
    <w:rsid w:val="0094290C"/>
    <w:rsid w:val="00962334"/>
    <w:rsid w:val="00972F59"/>
    <w:rsid w:val="00973EB1"/>
    <w:rsid w:val="009768C4"/>
    <w:rsid w:val="009A00FD"/>
    <w:rsid w:val="009C7E84"/>
    <w:rsid w:val="009D408F"/>
    <w:rsid w:val="009D7D4E"/>
    <w:rsid w:val="009E4508"/>
    <w:rsid w:val="00A03E1D"/>
    <w:rsid w:val="00A42D94"/>
    <w:rsid w:val="00A517C2"/>
    <w:rsid w:val="00A72789"/>
    <w:rsid w:val="00A7296E"/>
    <w:rsid w:val="00A74006"/>
    <w:rsid w:val="00AD198D"/>
    <w:rsid w:val="00AD254B"/>
    <w:rsid w:val="00AD76E5"/>
    <w:rsid w:val="00AE2C25"/>
    <w:rsid w:val="00AE76B2"/>
    <w:rsid w:val="00AF04AF"/>
    <w:rsid w:val="00AF562C"/>
    <w:rsid w:val="00B3587E"/>
    <w:rsid w:val="00B714E2"/>
    <w:rsid w:val="00B72E91"/>
    <w:rsid w:val="00B73D49"/>
    <w:rsid w:val="00B73D6A"/>
    <w:rsid w:val="00B820B6"/>
    <w:rsid w:val="00B91EE3"/>
    <w:rsid w:val="00BA55BA"/>
    <w:rsid w:val="00BA63B5"/>
    <w:rsid w:val="00BC660D"/>
    <w:rsid w:val="00BF0DE2"/>
    <w:rsid w:val="00C174D0"/>
    <w:rsid w:val="00C30B12"/>
    <w:rsid w:val="00C35A06"/>
    <w:rsid w:val="00C50759"/>
    <w:rsid w:val="00C55971"/>
    <w:rsid w:val="00C6699E"/>
    <w:rsid w:val="00C96E41"/>
    <w:rsid w:val="00CB58A5"/>
    <w:rsid w:val="00CC4A68"/>
    <w:rsid w:val="00CC55B7"/>
    <w:rsid w:val="00CD5EDC"/>
    <w:rsid w:val="00CF0FF3"/>
    <w:rsid w:val="00D04F7A"/>
    <w:rsid w:val="00D12C74"/>
    <w:rsid w:val="00D35132"/>
    <w:rsid w:val="00D42EC2"/>
    <w:rsid w:val="00D468D5"/>
    <w:rsid w:val="00D501D1"/>
    <w:rsid w:val="00D62A19"/>
    <w:rsid w:val="00DA0AF2"/>
    <w:rsid w:val="00DD6176"/>
    <w:rsid w:val="00DF6DB6"/>
    <w:rsid w:val="00E00765"/>
    <w:rsid w:val="00E07425"/>
    <w:rsid w:val="00E12D8C"/>
    <w:rsid w:val="00E2163D"/>
    <w:rsid w:val="00E2452F"/>
    <w:rsid w:val="00E42FE4"/>
    <w:rsid w:val="00E47446"/>
    <w:rsid w:val="00E5475D"/>
    <w:rsid w:val="00E605BC"/>
    <w:rsid w:val="00E8241A"/>
    <w:rsid w:val="00E95243"/>
    <w:rsid w:val="00ED6E39"/>
    <w:rsid w:val="00EE2106"/>
    <w:rsid w:val="00EE2249"/>
    <w:rsid w:val="00EF1F62"/>
    <w:rsid w:val="00F26833"/>
    <w:rsid w:val="00F53C8E"/>
    <w:rsid w:val="00F7469D"/>
    <w:rsid w:val="00F831AE"/>
    <w:rsid w:val="00F93828"/>
    <w:rsid w:val="00FC2B0E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3C9A"/>
  <w15:chartTrackingRefBased/>
  <w15:docId w15:val="{BC9AC712-0886-4574-BD53-EEA1068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64EF-D6A0-442D-8EBC-65505FDC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2024-05-15T07:28:00Z</cp:lastPrinted>
  <dcterms:created xsi:type="dcterms:W3CDTF">2024-03-28T04:38:00Z</dcterms:created>
  <dcterms:modified xsi:type="dcterms:W3CDTF">2024-12-28T01:46:00Z</dcterms:modified>
</cp:coreProperties>
</file>