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87" w:rsidRPr="00671714" w:rsidRDefault="008B0B87" w:rsidP="008B0B8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671714">
        <w:rPr>
          <w:rFonts w:ascii="Times New Roman" w:hAnsi="Times New Roman" w:cs="Times New Roman"/>
          <w:color w:val="auto"/>
        </w:rPr>
        <w:t>Понятие малых городов. Малые города в социально-экономической системе России</w:t>
      </w:r>
    </w:p>
    <w:p w:rsidR="008B0B87" w:rsidRDefault="008B0B87" w:rsidP="008B0B8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0B87" w:rsidRDefault="008B0B87" w:rsidP="008B0B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Аннотация. </w:t>
      </w:r>
      <w:r w:rsidRPr="00BF1E7D">
        <w:rPr>
          <w:sz w:val="28"/>
          <w:szCs w:val="28"/>
        </w:rPr>
        <w:t xml:space="preserve">За последние 100 лет урбанизация стала одной из основных тенденций общественного развития. В настоящий момент в городах проживает более половины населения Земли, при этом данный показатель в наиболее развитых странах достигает 80-90%, что касается России, то в нашем государстве численность городского населения почти в три раза превосходит численность ее сельского населения.  </w:t>
      </w:r>
    </w:p>
    <w:p w:rsidR="008B0B87" w:rsidRDefault="008B0B87" w:rsidP="008B0B87">
      <w:pPr>
        <w:spacing w:line="360" w:lineRule="auto"/>
        <w:ind w:firstLine="851"/>
        <w:jc w:val="both"/>
        <w:rPr>
          <w:sz w:val="28"/>
          <w:szCs w:val="28"/>
        </w:rPr>
      </w:pPr>
    </w:p>
    <w:p w:rsidR="008B0B87" w:rsidRDefault="008B0B87" w:rsidP="008B0B8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малый город, экономическая система города.</w:t>
      </w:r>
    </w:p>
    <w:p w:rsidR="008B0B87" w:rsidRDefault="008B0B87" w:rsidP="008B0B87">
      <w:pPr>
        <w:spacing w:line="360" w:lineRule="auto"/>
        <w:ind w:firstLine="851"/>
        <w:jc w:val="both"/>
        <w:rPr>
          <w:sz w:val="28"/>
          <w:szCs w:val="28"/>
        </w:rPr>
      </w:pPr>
    </w:p>
    <w:p w:rsidR="008B0B87" w:rsidRPr="00870649" w:rsidRDefault="008B0B87" w:rsidP="008B0B87">
      <w:pPr>
        <w:spacing w:line="360" w:lineRule="auto"/>
        <w:ind w:firstLine="851"/>
        <w:jc w:val="both"/>
        <w:rPr>
          <w:sz w:val="28"/>
          <w:szCs w:val="28"/>
        </w:rPr>
      </w:pPr>
      <w:r w:rsidRPr="00BF1E7D">
        <w:rPr>
          <w:sz w:val="28"/>
          <w:szCs w:val="28"/>
        </w:rPr>
        <w:t>Города являются центрами сосредоточения человеческого капитала, навыков и компетенций, необходимых на всех видах производства, которые не способны максимально эффективно функционировать без опоры на города. Распространение городского образа жизни, рост городов и доли городского населения представляются неумолимыми процессами. При этом под урбанизацией следует понимать лишь такое перемещение в города сельского населения, при котором формируется «зрелое, самоуправляющееся местное сообщество».</w:t>
      </w:r>
    </w:p>
    <w:p w:rsidR="008B0B87" w:rsidRPr="00BF1E7D" w:rsidRDefault="008B0B87" w:rsidP="008B0B87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BF1E7D">
        <w:rPr>
          <w:color w:val="000000" w:themeColor="text1"/>
          <w:sz w:val="28"/>
          <w:szCs w:val="28"/>
        </w:rPr>
        <w:t xml:space="preserve">Одним из основных результатов процесса урбанизации в России в прошлом столетии стало десятикратное увеличение городского населения: если 100 лет назад в российских городах проживало лишь 17% от общей численности населения, то в настоящий момент этот показатель составляет 73,7%. Произошедшие преобразования коренным образом изменили внешний облик территории нашего государства, в том </w:t>
      </w:r>
      <w:r w:rsidRPr="007537BC">
        <w:rPr>
          <w:color w:val="000000" w:themeColor="text1"/>
          <w:sz w:val="28"/>
          <w:szCs w:val="28"/>
        </w:rPr>
        <w:t>числе, систему</w:t>
      </w:r>
      <w:r w:rsidRPr="00BF1E7D">
        <w:rPr>
          <w:color w:val="000000" w:themeColor="text1"/>
          <w:sz w:val="28"/>
          <w:szCs w:val="28"/>
        </w:rPr>
        <w:t xml:space="preserve"> размещения населения.</w:t>
      </w:r>
      <w:proofErr w:type="gramEnd"/>
    </w:p>
    <w:p w:rsidR="008B0B87" w:rsidRPr="00BF1E7D" w:rsidRDefault="008B0B87" w:rsidP="008B0B87">
      <w:pPr>
        <w:spacing w:line="360" w:lineRule="auto"/>
        <w:ind w:firstLine="851"/>
        <w:jc w:val="both"/>
        <w:rPr>
          <w:sz w:val="28"/>
          <w:szCs w:val="28"/>
        </w:rPr>
      </w:pPr>
      <w:r w:rsidRPr="00BF1E7D">
        <w:rPr>
          <w:sz w:val="28"/>
          <w:szCs w:val="28"/>
        </w:rPr>
        <w:t>Существует множество подходов к определению термина «г</w:t>
      </w:r>
      <w:r>
        <w:rPr>
          <w:sz w:val="28"/>
          <w:szCs w:val="28"/>
        </w:rPr>
        <w:t>ород». Законодательно в России населенный пункт будет являться городом</w:t>
      </w:r>
      <w:r w:rsidRPr="00BF1E7D">
        <w:rPr>
          <w:sz w:val="28"/>
          <w:szCs w:val="28"/>
        </w:rPr>
        <w:t xml:space="preserve">, если в </w:t>
      </w:r>
      <w:r w:rsidRPr="00BF1E7D">
        <w:rPr>
          <w:sz w:val="28"/>
          <w:szCs w:val="28"/>
        </w:rPr>
        <w:lastRenderedPageBreak/>
        <w:t>нем проживает более 12 тысяч человек и 85% из них занято в несельскохозяйственном секторе экономики.</w:t>
      </w:r>
      <w:r>
        <w:rPr>
          <w:sz w:val="28"/>
          <w:szCs w:val="28"/>
        </w:rPr>
        <w:t xml:space="preserve"> </w:t>
      </w:r>
      <w:r w:rsidRPr="00BF1E7D">
        <w:rPr>
          <w:sz w:val="28"/>
          <w:szCs w:val="28"/>
        </w:rPr>
        <w:t>А вот, к примеру, Г.М. Лаппо отмечает, что не существует единственного верного подхода к трактовке феномена «город», так как каждое определение города концентрирует внимание лишь на какой-то одной грани данного многомерного понятия. При этом города отличаются такими критериями, как: людность, структура занятости, плотность застройки и административный статус.</w:t>
      </w:r>
    </w:p>
    <w:p w:rsidR="008B0B87" w:rsidRPr="00BF1E7D" w:rsidRDefault="008B0B87" w:rsidP="008B0B87">
      <w:pPr>
        <w:spacing w:line="360" w:lineRule="auto"/>
        <w:ind w:firstLine="851"/>
        <w:jc w:val="both"/>
        <w:rPr>
          <w:sz w:val="28"/>
          <w:szCs w:val="28"/>
        </w:rPr>
      </w:pPr>
      <w:r w:rsidRPr="00BF1E7D">
        <w:rPr>
          <w:sz w:val="28"/>
          <w:szCs w:val="28"/>
        </w:rPr>
        <w:t xml:space="preserve">Согласно принятым стандартам город считается малым, если в нем проживает менее 50 тысяч человек. В настоящий момент средняя людность таких городов составляет 21 тысячу человек, что выше показателя 1926 года практически в 2 раза. </w:t>
      </w:r>
      <w:r>
        <w:rPr>
          <w:sz w:val="28"/>
          <w:szCs w:val="28"/>
        </w:rPr>
        <w:t>Следует отметить, что граница между статусом города и поселка городского типа в российской практике представляется довольно размытой: среди малых городов есть такие, в которых проживает менее 12 тысяч человек, при этом людность многих поселков городского типа превосходит данный уровень.</w:t>
      </w:r>
      <w:r w:rsidRPr="00BF1E7D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2023</w:t>
      </w:r>
      <w:r w:rsidRPr="00BF1E7D">
        <w:rPr>
          <w:sz w:val="28"/>
          <w:szCs w:val="28"/>
        </w:rPr>
        <w:t xml:space="preserve"> год 226 российских городов не отвечали критерию людности, необходимому для </w:t>
      </w:r>
      <w:r>
        <w:rPr>
          <w:sz w:val="28"/>
          <w:szCs w:val="28"/>
        </w:rPr>
        <w:t>присвоения городского статуса</w:t>
      </w:r>
      <w:r w:rsidRPr="00BF1E7D">
        <w:rPr>
          <w:sz w:val="28"/>
          <w:szCs w:val="28"/>
        </w:rPr>
        <w:t>, то есть население в них было менее 12 тысяч человек. Например, город Чекалин в Тульской области, самый маленький город России, во время последней переписи насчитывал 1151 жителя. В основном, такие «города-карлики» приобрели статус города во время Екатерининской административной реформы или ранее, например: город Плес в Ивановской области (</w:t>
      </w:r>
      <w:proofErr w:type="spellStart"/>
      <w:r w:rsidRPr="00BF1E7D">
        <w:rPr>
          <w:sz w:val="28"/>
          <w:szCs w:val="28"/>
        </w:rPr>
        <w:t>1778г</w:t>
      </w:r>
      <w:proofErr w:type="spellEnd"/>
      <w:r w:rsidRPr="00BF1E7D">
        <w:rPr>
          <w:sz w:val="28"/>
          <w:szCs w:val="28"/>
        </w:rPr>
        <w:t xml:space="preserve">.), город Мезень в Архангельской области (1780 г.). Наибольшая доля «городов-карликов» приходится на Европейскую часть России, где укоренившаяся </w:t>
      </w:r>
      <w:proofErr w:type="spellStart"/>
      <w:r w:rsidRPr="00BF1E7D">
        <w:rPr>
          <w:sz w:val="28"/>
          <w:szCs w:val="28"/>
        </w:rPr>
        <w:t>мелкоселенность</w:t>
      </w:r>
      <w:proofErr w:type="spellEnd"/>
      <w:r w:rsidRPr="00BF1E7D">
        <w:rPr>
          <w:sz w:val="28"/>
          <w:szCs w:val="28"/>
        </w:rPr>
        <w:t xml:space="preserve"> усугубляется негативными демографическими тенденциями. При этом официальные статистические данные о структуре занятости населения для малых и средних городов отсутствуют, поэтому проверить города с населением менее 50 тысяч человек на соответствие городскому статусу не представляется возможным.</w:t>
      </w:r>
    </w:p>
    <w:p w:rsidR="008B0B87" w:rsidRPr="00870649" w:rsidRDefault="008B0B87" w:rsidP="008B0B87">
      <w:pPr>
        <w:spacing w:line="360" w:lineRule="auto"/>
        <w:ind w:firstLine="851"/>
        <w:jc w:val="both"/>
        <w:rPr>
          <w:sz w:val="28"/>
          <w:szCs w:val="28"/>
        </w:rPr>
      </w:pPr>
      <w:r w:rsidRPr="00BF1E7D">
        <w:rPr>
          <w:sz w:val="28"/>
          <w:szCs w:val="28"/>
        </w:rPr>
        <w:t>Как правило, малые города отличаются компактностью и размеренным образом жизни. Такие города гармонично вписываются в окружающий ландшафт и характеризуются лучшей по сравнению с крупными городами экологической обстановкой. В то же время жители небольших городов лишены многих благ, доступных жителям мегаполисов: обширного выбора учебных заведений, вакансий, развитой сферы обслуживания и инфраструктуры. Малым городам зачастую присущи высокий уровень безработицы, отток населения, удаленность от региональных центров.</w:t>
      </w:r>
      <w:r w:rsidRPr="00870649">
        <w:rPr>
          <w:sz w:val="28"/>
          <w:szCs w:val="28"/>
        </w:rPr>
        <w:t xml:space="preserve">[20, </w:t>
      </w:r>
      <w:r>
        <w:rPr>
          <w:sz w:val="28"/>
          <w:szCs w:val="28"/>
          <w:lang w:val="en-US"/>
        </w:rPr>
        <w:t>c</w:t>
      </w:r>
      <w:r w:rsidRPr="00870649">
        <w:rPr>
          <w:sz w:val="28"/>
          <w:szCs w:val="28"/>
        </w:rPr>
        <w:t>. 232]</w:t>
      </w:r>
    </w:p>
    <w:p w:rsidR="008B0B87" w:rsidRPr="00BF1E7D" w:rsidRDefault="008B0B87" w:rsidP="008B0B87">
      <w:pPr>
        <w:spacing w:line="360" w:lineRule="auto"/>
        <w:ind w:firstLine="851"/>
        <w:jc w:val="both"/>
        <w:rPr>
          <w:sz w:val="28"/>
          <w:szCs w:val="28"/>
        </w:rPr>
      </w:pPr>
      <w:r w:rsidRPr="00BF1E7D">
        <w:rPr>
          <w:sz w:val="28"/>
          <w:szCs w:val="28"/>
        </w:rPr>
        <w:t xml:space="preserve">Они являются наиболее многочисленной группой </w:t>
      </w:r>
      <w:r>
        <w:rPr>
          <w:sz w:val="28"/>
          <w:szCs w:val="28"/>
        </w:rPr>
        <w:t xml:space="preserve">городов в </w:t>
      </w:r>
      <w:r w:rsidRPr="00BF1E7D">
        <w:rPr>
          <w:sz w:val="28"/>
          <w:szCs w:val="28"/>
        </w:rPr>
        <w:t>России: из 1100 российских городов 781 – это малые города. Естественно их доля в общей численности городского населения России не столь значительна. Основная часть горожан проживает в больших городах с населением более 100 тыс. человек. По данным Всеро</w:t>
      </w:r>
      <w:r>
        <w:rPr>
          <w:sz w:val="28"/>
          <w:szCs w:val="28"/>
        </w:rPr>
        <w:t>ссийской переписи населении 2023</w:t>
      </w:r>
      <w:r w:rsidRPr="00BF1E7D">
        <w:rPr>
          <w:sz w:val="28"/>
          <w:szCs w:val="28"/>
        </w:rPr>
        <w:t xml:space="preserve"> года в малых городах проживает чуть менее 16,5 </w:t>
      </w:r>
      <w:proofErr w:type="spellStart"/>
      <w:proofErr w:type="gramStart"/>
      <w:r w:rsidRPr="00BF1E7D">
        <w:rPr>
          <w:sz w:val="28"/>
          <w:szCs w:val="28"/>
        </w:rPr>
        <w:t>млн</w:t>
      </w:r>
      <w:proofErr w:type="spellEnd"/>
      <w:proofErr w:type="gramEnd"/>
      <w:r w:rsidRPr="00BF1E7D">
        <w:rPr>
          <w:sz w:val="28"/>
          <w:szCs w:val="28"/>
        </w:rPr>
        <w:t xml:space="preserve"> человек, что составляет всего 16,8% от городского населения России или 11,5% от совокупной численности населения нашей страны.</w:t>
      </w:r>
    </w:p>
    <w:p w:rsidR="008B0B87" w:rsidRDefault="008B0B87" w:rsidP="008B0B8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BF1E7D">
        <w:rPr>
          <w:sz w:val="28"/>
          <w:szCs w:val="28"/>
        </w:rPr>
        <w:t xml:space="preserve">Рассмотрим динамику изменения численности малых городов и </w:t>
      </w:r>
      <w:r>
        <w:rPr>
          <w:sz w:val="28"/>
          <w:szCs w:val="28"/>
        </w:rPr>
        <w:t>их населения с 1926 года до 2023</w:t>
      </w:r>
      <w:r w:rsidRPr="00BF1E7D">
        <w:rPr>
          <w:sz w:val="28"/>
          <w:szCs w:val="28"/>
        </w:rPr>
        <w:t>. Данный временной промежуток объясняется тем, что в 1926 году была проведена</w:t>
      </w:r>
      <w:proofErr w:type="gramStart"/>
      <w:r w:rsidRPr="00BF1E7D">
        <w:rPr>
          <w:sz w:val="28"/>
          <w:szCs w:val="28"/>
        </w:rPr>
        <w:t xml:space="preserve"> П</w:t>
      </w:r>
      <w:proofErr w:type="gramEnd"/>
      <w:r w:rsidRPr="00BF1E7D">
        <w:rPr>
          <w:sz w:val="28"/>
          <w:szCs w:val="28"/>
        </w:rPr>
        <w:t>ервая Всесоюзная перепись населения.</w:t>
      </w:r>
    </w:p>
    <w:p w:rsidR="008B0B87" w:rsidRDefault="008B0B87" w:rsidP="008B0B87">
      <w:pPr>
        <w:spacing w:before="100" w:beforeAutospacing="1" w:after="100" w:afterAutospacing="1" w:line="360" w:lineRule="auto"/>
        <w:jc w:val="center"/>
        <w:outlineLvl w:val="0"/>
        <w:rPr>
          <w:b/>
          <w:bCs/>
          <w:sz w:val="28"/>
          <w:szCs w:val="28"/>
        </w:rPr>
      </w:pPr>
      <w:r w:rsidRPr="00BF1E7D">
        <w:rPr>
          <w:noProof/>
          <w:sz w:val="28"/>
          <w:szCs w:val="28"/>
        </w:rPr>
        <w:drawing>
          <wp:inline distT="0" distB="0" distL="0" distR="0">
            <wp:extent cx="5174277" cy="2646927"/>
            <wp:effectExtent l="19050" t="0" r="26373" b="1023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B0B87" w:rsidRPr="00BF1E7D" w:rsidRDefault="008B0B87" w:rsidP="008B0B87">
      <w:pPr>
        <w:spacing w:before="100" w:beforeAutospacing="1" w:after="100" w:afterAutospacing="1" w:line="360" w:lineRule="auto"/>
        <w:jc w:val="center"/>
        <w:outlineLvl w:val="0"/>
        <w:rPr>
          <w:sz w:val="28"/>
          <w:szCs w:val="28"/>
        </w:rPr>
      </w:pPr>
      <w:bookmarkStart w:id="0" w:name="_Toc185930904"/>
      <w:bookmarkStart w:id="1" w:name="_Toc186009844"/>
      <w:r w:rsidRPr="00967662">
        <w:rPr>
          <w:bCs/>
          <w:sz w:val="28"/>
          <w:szCs w:val="28"/>
        </w:rPr>
        <w:t>Рисунок 1</w:t>
      </w:r>
      <w:r>
        <w:rPr>
          <w:bCs/>
          <w:sz w:val="28"/>
          <w:szCs w:val="28"/>
        </w:rPr>
        <w:t xml:space="preserve"> - </w:t>
      </w:r>
      <w:r w:rsidRPr="00967662">
        <w:rPr>
          <w:bCs/>
          <w:sz w:val="28"/>
          <w:szCs w:val="28"/>
        </w:rPr>
        <w:t>Изменение численности городов в России с 1926 по 202</w:t>
      </w:r>
      <w:bookmarkEnd w:id="0"/>
      <w:bookmarkEnd w:id="1"/>
      <w:r>
        <w:rPr>
          <w:bCs/>
          <w:sz w:val="28"/>
          <w:szCs w:val="28"/>
        </w:rPr>
        <w:t>3 гг.</w:t>
      </w:r>
    </w:p>
    <w:p w:rsidR="008B0B87" w:rsidRPr="00BF1E7D" w:rsidRDefault="008B0B87" w:rsidP="008B0B87">
      <w:pPr>
        <w:spacing w:line="360" w:lineRule="auto"/>
        <w:jc w:val="center"/>
        <w:rPr>
          <w:sz w:val="28"/>
          <w:szCs w:val="28"/>
        </w:rPr>
      </w:pPr>
    </w:p>
    <w:p w:rsidR="008B0B87" w:rsidRPr="00BF1E7D" w:rsidRDefault="008B0B87" w:rsidP="008B0B87">
      <w:pPr>
        <w:spacing w:line="360" w:lineRule="auto"/>
        <w:rPr>
          <w:sz w:val="28"/>
          <w:szCs w:val="28"/>
        </w:rPr>
      </w:pPr>
      <w:r w:rsidRPr="00BF1E7D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0B87" w:rsidRPr="00967662" w:rsidRDefault="008B0B87" w:rsidP="008B0B87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967662">
        <w:rPr>
          <w:sz w:val="28"/>
          <w:szCs w:val="28"/>
        </w:rPr>
        <w:t>Рисунок 2</w:t>
      </w:r>
      <w:r>
        <w:rPr>
          <w:sz w:val="28"/>
          <w:szCs w:val="28"/>
        </w:rPr>
        <w:t xml:space="preserve"> - </w:t>
      </w:r>
      <w:r w:rsidRPr="00967662">
        <w:rPr>
          <w:sz w:val="28"/>
          <w:szCs w:val="28"/>
        </w:rPr>
        <w:t>Динамика численности населения в городах целом и населения малых городов с 1926 по 2023 гг., тыс. человек</w:t>
      </w:r>
    </w:p>
    <w:p w:rsidR="008B0B87" w:rsidRDefault="008B0B87" w:rsidP="008B0B87">
      <w:pPr>
        <w:spacing w:line="360" w:lineRule="auto"/>
        <w:ind w:firstLine="851"/>
        <w:jc w:val="both"/>
        <w:rPr>
          <w:sz w:val="28"/>
          <w:szCs w:val="28"/>
        </w:rPr>
      </w:pPr>
      <w:r w:rsidRPr="00BF1E7D">
        <w:rPr>
          <w:sz w:val="28"/>
          <w:szCs w:val="28"/>
        </w:rPr>
        <w:t xml:space="preserve">Приведенные выше графики демонстрируют подвижность термина «малый город». Как мы видим, сто лет назад города с населением менее 50 тысяч человек составляли основную совокупность городов России. С ростом городов малые города теряют свою долю в общей структуре численности российских городов и доли населения, проживающей в них. При изменении количества малых городов имеют место два процесса: присвоение поселкам городского типа статуса города, а также переход малых городов в группу средних. Следует также отметить, что в период с 1990 по 2000 1/3 «появившихся» городов – это закрытые </w:t>
      </w:r>
      <w:r>
        <w:rPr>
          <w:sz w:val="28"/>
          <w:szCs w:val="28"/>
        </w:rPr>
        <w:t>административно-</w:t>
      </w:r>
      <w:r w:rsidRPr="00BF1E7D">
        <w:rPr>
          <w:sz w:val="28"/>
          <w:szCs w:val="28"/>
        </w:rPr>
        <w:t xml:space="preserve">территориальные образования (ЗАТО),  которые существовали уже давно, но статистическая информация по ним появилась только после их легализации в 1994 году. </w:t>
      </w:r>
    </w:p>
    <w:p w:rsidR="008B0B87" w:rsidRPr="00BF1E7D" w:rsidRDefault="008B0B87" w:rsidP="008B0B87">
      <w:pPr>
        <w:spacing w:line="360" w:lineRule="auto"/>
        <w:ind w:firstLine="851"/>
        <w:jc w:val="both"/>
        <w:rPr>
          <w:sz w:val="28"/>
          <w:szCs w:val="28"/>
        </w:rPr>
      </w:pPr>
      <w:r w:rsidRPr="00BF1E7D">
        <w:rPr>
          <w:sz w:val="28"/>
          <w:szCs w:val="28"/>
        </w:rPr>
        <w:t>С 1989 года статус города получили 53 бывший поселков городского типа и около десятка сел.  В новороссийский период темп создания новых городов значительно отстает от аналогичного показателя времен бурной советской урбанизации. Например, в 1946-1958 годах было образовано 115 городов, что соответствует 9 новым городам ежегодно. При этом основным источником урбанизации за последние 22 года являлся миграционный прирост; центров собственного миграционного резерва на карте России остается все меньше и меньше.</w:t>
      </w:r>
    </w:p>
    <w:p w:rsidR="008B0B87" w:rsidRPr="00BF1E7D" w:rsidRDefault="008B0B87" w:rsidP="008B0B87">
      <w:pPr>
        <w:spacing w:line="360" w:lineRule="auto"/>
        <w:ind w:firstLine="851"/>
        <w:jc w:val="both"/>
        <w:rPr>
          <w:sz w:val="28"/>
          <w:szCs w:val="28"/>
        </w:rPr>
      </w:pPr>
      <w:r w:rsidRPr="00BF1E7D">
        <w:rPr>
          <w:sz w:val="28"/>
          <w:szCs w:val="28"/>
        </w:rPr>
        <w:t xml:space="preserve">Малые города в основном моложе больших, около 2/3 городов с численностью населения менее 50 тысяч человек получили статус города лишь в </w:t>
      </w:r>
      <w:r w:rsidRPr="00BF1E7D">
        <w:rPr>
          <w:sz w:val="28"/>
          <w:szCs w:val="28"/>
          <w:lang w:val="en-US"/>
        </w:rPr>
        <w:t>XX</w:t>
      </w:r>
      <w:r w:rsidRPr="00BF1E7D">
        <w:rPr>
          <w:sz w:val="28"/>
          <w:szCs w:val="28"/>
        </w:rPr>
        <w:t xml:space="preserve"> веке.</w:t>
      </w:r>
    </w:p>
    <w:p w:rsidR="008B0B87" w:rsidRPr="00BF1E7D" w:rsidRDefault="008B0B87" w:rsidP="008B0B87">
      <w:pPr>
        <w:spacing w:line="360" w:lineRule="auto"/>
        <w:ind w:firstLine="851"/>
        <w:jc w:val="both"/>
        <w:rPr>
          <w:sz w:val="28"/>
          <w:szCs w:val="28"/>
        </w:rPr>
      </w:pPr>
      <w:r w:rsidRPr="00BF1E7D">
        <w:rPr>
          <w:sz w:val="28"/>
          <w:szCs w:val="28"/>
        </w:rPr>
        <w:t>Ввиду своей многочисленности и распространенности по всей территории Российской Федерации малые города отличаются чрезвычайным многообразием и могут быть квалифицированны по различным критериям, о чем пойдет речь следующих главах. Следует также отметить, что регионы России в некоторой степени дифференцируются по количеству малых городов, например: в Республике Алтай нет ни одного малого города, в Республике Дагестан – 4 города с населением менее 50 тысяч человек, а в Челябинской области – 21 малый город.</w:t>
      </w:r>
    </w:p>
    <w:p w:rsidR="008B0B87" w:rsidRPr="00870649" w:rsidRDefault="008B0B87" w:rsidP="008B0B87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06829">
        <w:rPr>
          <w:rFonts w:eastAsia="Calibri"/>
          <w:sz w:val="28"/>
          <w:szCs w:val="28"/>
        </w:rPr>
        <w:t xml:space="preserve">Малая территория – это коммуникационное понятие. Пространство, где есть узнаваемость, возможность взаимного информирования, связи. Малой территорией может оказаться большая площадь, но </w:t>
      </w:r>
      <w:proofErr w:type="gramStart"/>
      <w:r w:rsidRPr="00106829">
        <w:rPr>
          <w:rFonts w:eastAsia="Calibri"/>
          <w:sz w:val="28"/>
          <w:szCs w:val="28"/>
        </w:rPr>
        <w:t>население</w:t>
      </w:r>
      <w:proofErr w:type="gramEnd"/>
      <w:r w:rsidRPr="00106829">
        <w:rPr>
          <w:rFonts w:eastAsia="Calibri"/>
          <w:sz w:val="28"/>
          <w:szCs w:val="28"/>
        </w:rPr>
        <w:t xml:space="preserve"> которой обладает связанностью.</w:t>
      </w:r>
      <w:r w:rsidRPr="00870649">
        <w:rPr>
          <w:rFonts w:eastAsia="Calibri"/>
          <w:sz w:val="28"/>
          <w:szCs w:val="28"/>
        </w:rPr>
        <w:t xml:space="preserve">[31, </w:t>
      </w:r>
      <w:r>
        <w:rPr>
          <w:rFonts w:eastAsia="Calibri"/>
          <w:sz w:val="28"/>
          <w:szCs w:val="28"/>
          <w:lang w:val="en-US"/>
        </w:rPr>
        <w:t>c</w:t>
      </w:r>
      <w:r w:rsidRPr="00870649">
        <w:rPr>
          <w:rFonts w:eastAsia="Calibri"/>
          <w:sz w:val="28"/>
          <w:szCs w:val="28"/>
        </w:rPr>
        <w:t>. 259]</w:t>
      </w:r>
    </w:p>
    <w:p w:rsidR="008B0B87" w:rsidRPr="00106829" w:rsidRDefault="008B0B87" w:rsidP="008B0B87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06829">
        <w:rPr>
          <w:rFonts w:eastAsia="Calibri"/>
          <w:sz w:val="28"/>
          <w:szCs w:val="28"/>
        </w:rPr>
        <w:t>Малые города и другие населенные пункты относятся к «малым территориям» в регионе по двум критериям:</w:t>
      </w:r>
    </w:p>
    <w:p w:rsidR="008B0B87" w:rsidRPr="00106829" w:rsidRDefault="008B0B87" w:rsidP="008B0B87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06829">
        <w:rPr>
          <w:rFonts w:eastAsia="Calibri"/>
          <w:sz w:val="28"/>
          <w:szCs w:val="28"/>
        </w:rPr>
        <w:t>- численность населения до 100 тыс. человек (с исключениями) – порог может меняться в зависимости от разных подходов;</w:t>
      </w:r>
    </w:p>
    <w:p w:rsidR="008B0B87" w:rsidRPr="0002166C" w:rsidRDefault="008B0B87" w:rsidP="008B0B87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06829">
        <w:rPr>
          <w:rFonts w:eastAsia="Calibri"/>
          <w:sz w:val="28"/>
          <w:szCs w:val="28"/>
        </w:rPr>
        <w:t xml:space="preserve">- локальная коммуникационная связность (малой территорией может быть и район крупного мегаполиса, обладающий самостоятельной идентичностью и внутренне </w:t>
      </w:r>
      <w:proofErr w:type="spellStart"/>
      <w:r w:rsidRPr="00106829">
        <w:rPr>
          <w:rFonts w:eastAsia="Calibri"/>
          <w:sz w:val="28"/>
          <w:szCs w:val="28"/>
        </w:rPr>
        <w:t>коммуникативно</w:t>
      </w:r>
      <w:proofErr w:type="spellEnd"/>
      <w:r w:rsidRPr="00106829">
        <w:rPr>
          <w:rFonts w:eastAsia="Calibri"/>
          <w:sz w:val="28"/>
          <w:szCs w:val="28"/>
        </w:rPr>
        <w:t xml:space="preserve"> связанный). </w:t>
      </w:r>
    </w:p>
    <w:p w:rsidR="008B0B87" w:rsidRPr="00106829" w:rsidRDefault="008B0B87" w:rsidP="008B0B87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06829">
        <w:rPr>
          <w:rFonts w:eastAsia="Calibri"/>
          <w:sz w:val="28"/>
          <w:szCs w:val="28"/>
        </w:rPr>
        <w:t>Развитие малых территорий является сложнейшей системой, взаимная зависимость элементов которой не может быть описана линейными функциями, так как жизнь общества в основном характеризуются нелинейными процессами. Социально-экономическая система малых территорий может быть представлена в виде совокупности пяти основных подсистем:</w:t>
      </w:r>
    </w:p>
    <w:p w:rsidR="008B0B87" w:rsidRPr="00106829" w:rsidRDefault="008B0B87" w:rsidP="008B0B87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proofErr w:type="spellStart"/>
      <w:r w:rsidRPr="00106829">
        <w:rPr>
          <w:rFonts w:eastAsia="Calibri"/>
          <w:sz w:val="28"/>
          <w:szCs w:val="28"/>
        </w:rPr>
        <w:t>системообразующая</w:t>
      </w:r>
      <w:proofErr w:type="spellEnd"/>
      <w:r w:rsidRPr="00106829">
        <w:rPr>
          <w:rFonts w:eastAsia="Calibri"/>
          <w:sz w:val="28"/>
          <w:szCs w:val="28"/>
        </w:rPr>
        <w:t xml:space="preserve"> база;</w:t>
      </w:r>
    </w:p>
    <w:p w:rsidR="008B0B87" w:rsidRPr="00106829" w:rsidRDefault="008B0B87" w:rsidP="008B0B87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proofErr w:type="spellStart"/>
      <w:r w:rsidRPr="00106829">
        <w:rPr>
          <w:rFonts w:eastAsia="Calibri"/>
          <w:sz w:val="28"/>
          <w:szCs w:val="28"/>
        </w:rPr>
        <w:t>системообслуживающий</w:t>
      </w:r>
      <w:proofErr w:type="spellEnd"/>
      <w:r w:rsidRPr="00106829">
        <w:rPr>
          <w:rFonts w:eastAsia="Calibri"/>
          <w:sz w:val="28"/>
          <w:szCs w:val="28"/>
        </w:rPr>
        <w:t xml:space="preserve"> комплекс;</w:t>
      </w:r>
    </w:p>
    <w:p w:rsidR="008B0B87" w:rsidRPr="00106829" w:rsidRDefault="008B0B87" w:rsidP="008B0B87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106829">
        <w:rPr>
          <w:rFonts w:eastAsia="Calibri"/>
          <w:sz w:val="28"/>
          <w:szCs w:val="28"/>
        </w:rPr>
        <w:t>экология;</w:t>
      </w:r>
    </w:p>
    <w:p w:rsidR="008B0B87" w:rsidRPr="00106829" w:rsidRDefault="008B0B87" w:rsidP="008B0B87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106829">
        <w:rPr>
          <w:rFonts w:eastAsia="Calibri"/>
          <w:sz w:val="28"/>
          <w:szCs w:val="28"/>
        </w:rPr>
        <w:t>население;</w:t>
      </w:r>
    </w:p>
    <w:p w:rsidR="008B0B87" w:rsidRPr="00106829" w:rsidRDefault="008B0B87" w:rsidP="008B0B87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106829">
        <w:rPr>
          <w:rFonts w:eastAsia="Calibri"/>
          <w:sz w:val="28"/>
          <w:szCs w:val="28"/>
        </w:rPr>
        <w:t>инфраструктура рынка.</w:t>
      </w:r>
    </w:p>
    <w:p w:rsidR="008B0B87" w:rsidRPr="008B7BF2" w:rsidRDefault="008B0B87" w:rsidP="008B0B87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06829">
        <w:rPr>
          <w:rFonts w:eastAsia="Calibri"/>
          <w:sz w:val="28"/>
          <w:szCs w:val="28"/>
        </w:rPr>
        <w:t xml:space="preserve">Основной фактор, обеспечивающий взаимосвязь представленных пяти подсистем и городского объединяющим российской их в вопрос единую методы социально-экономическую населения систему, определить является </w:t>
      </w:r>
      <w:proofErr w:type="gramStart"/>
      <w:r w:rsidRPr="00106829">
        <w:rPr>
          <w:rFonts w:eastAsia="Calibri"/>
          <w:sz w:val="28"/>
          <w:szCs w:val="28"/>
        </w:rPr>
        <w:t>территориальное</w:t>
      </w:r>
      <w:proofErr w:type="gramEnd"/>
      <w:r w:rsidRPr="00106829">
        <w:rPr>
          <w:rFonts w:eastAsia="Calibri"/>
          <w:sz w:val="28"/>
          <w:szCs w:val="28"/>
        </w:rPr>
        <w:t xml:space="preserve"> деятельность южного человека. Человек стратегии выступает в среднесрочной качестве </w:t>
      </w:r>
      <w:proofErr w:type="gramStart"/>
      <w:r w:rsidRPr="00106829">
        <w:rPr>
          <w:rFonts w:eastAsia="Calibri"/>
          <w:sz w:val="28"/>
          <w:szCs w:val="28"/>
        </w:rPr>
        <w:t>бездефицитное</w:t>
      </w:r>
      <w:proofErr w:type="gramEnd"/>
      <w:r w:rsidRPr="00106829">
        <w:rPr>
          <w:rFonts w:eastAsia="Calibri"/>
          <w:sz w:val="28"/>
          <w:szCs w:val="28"/>
        </w:rPr>
        <w:t xml:space="preserve"> органической самоуправления части хозяйствующих каждой цифровая из общей представленных проблем подсистем.</w:t>
      </w:r>
    </w:p>
    <w:p w:rsidR="008B0B87" w:rsidRPr="003246D8" w:rsidRDefault="008B0B87" w:rsidP="008B0B87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B7BF2">
        <w:rPr>
          <w:rFonts w:eastAsia="Calibri"/>
          <w:sz w:val="28"/>
          <w:szCs w:val="28"/>
        </w:rPr>
        <w:t xml:space="preserve">Задача построения экономической системы, ориентированной на человека, стимулирующей развитие личности, основывается на идее социальной справедливости и в связи с этим заключает в себе огромный созидательный потенциал. Понятие социальной справедливости в настоящее время общественным сознанием воспринимается как благополучие, достигнутое в результате деятельности, приносящей реальную пользу обществу.  </w:t>
      </w:r>
    </w:p>
    <w:p w:rsidR="008B0B87" w:rsidRDefault="008B0B87" w:rsidP="008B0B87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870649">
        <w:rPr>
          <w:rFonts w:eastAsia="Calibri"/>
          <w:sz w:val="28"/>
          <w:szCs w:val="28"/>
        </w:rPr>
        <w:t>Рассмотрим основные виды малых городов</w:t>
      </w:r>
      <w:r>
        <w:rPr>
          <w:rFonts w:eastAsia="Calibri"/>
          <w:sz w:val="28"/>
          <w:szCs w:val="28"/>
        </w:rPr>
        <w:t>.</w:t>
      </w:r>
    </w:p>
    <w:p w:rsidR="008B0B87" w:rsidRPr="00BF1E7D" w:rsidRDefault="008B0B87" w:rsidP="008B0B87">
      <w:pPr>
        <w:pStyle w:val="a3"/>
        <w:spacing w:line="360" w:lineRule="auto"/>
        <w:ind w:left="0" w:firstLine="993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2" w:name="_Toc185930905"/>
      <w:bookmarkStart w:id="3" w:name="_Toc186009845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Монофункциональные </w:t>
      </w:r>
      <w:r w:rsidRPr="00BF1E7D">
        <w:rPr>
          <w:rFonts w:ascii="Times New Roman" w:hAnsi="Times New Roman"/>
          <w:sz w:val="28"/>
          <w:szCs w:val="28"/>
          <w:shd w:val="clear" w:color="auto" w:fill="FFFFFF"/>
        </w:rPr>
        <w:t xml:space="preserve">(или </w:t>
      </w:r>
      <w:proofErr w:type="spellStart"/>
      <w:r w:rsidRPr="00BF1E7D">
        <w:rPr>
          <w:rFonts w:ascii="Times New Roman" w:hAnsi="Times New Roman"/>
          <w:sz w:val="28"/>
          <w:szCs w:val="28"/>
          <w:shd w:val="clear" w:color="auto" w:fill="FFFFFF"/>
        </w:rPr>
        <w:t>монопрофильные</w:t>
      </w:r>
      <w:proofErr w:type="spellEnd"/>
      <w:r w:rsidRPr="00BF1E7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города представляют собой городские и сельские поселения с четко выраженной доминирующей функцией в сочетании со слабым развитием остальных функций. При этом моногорода – это не российский феномен, такие города распространены по всему миру.</w:t>
      </w:r>
      <w:bookmarkEnd w:id="2"/>
      <w:bookmarkEnd w:id="3"/>
    </w:p>
    <w:p w:rsidR="008B0B87" w:rsidRPr="00D65153" w:rsidRDefault="008B0B87" w:rsidP="008B0B87">
      <w:pPr>
        <w:pStyle w:val="a3"/>
        <w:spacing w:line="360" w:lineRule="auto"/>
        <w:ind w:left="0" w:firstLine="993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4" w:name="_Toc185930906"/>
      <w:bookmarkStart w:id="5" w:name="_Toc186009846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М. Лаппо подразделяет все моногорода на две основные категории: 1) города, устойчивая </w:t>
      </w:r>
      <w:proofErr w:type="spell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монопрофильность</w:t>
      </w:r>
      <w:proofErr w:type="spell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которых определяется суровыми климатическими условиями; 2) так называемые «временные» </w:t>
      </w:r>
      <w:proofErr w:type="spell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монопрофильные</w:t>
      </w:r>
      <w:proofErr w:type="spell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города, которые способны к трансформации экономики. При этом вторая категория составляет большинство моногородов. Автор отмечает, что процесс накапливание предпосылок для дальнейшего становления полифункциональным городом является естественным процессом, через который за прошлое столетие прошли многие </w:t>
      </w:r>
      <w:proofErr w:type="spell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экс-монопрофильные</w:t>
      </w:r>
      <w:proofErr w:type="spell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города.</w:t>
      </w:r>
      <w:r w:rsidRPr="00D65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[52,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D651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68]</w:t>
      </w:r>
      <w:bookmarkEnd w:id="4"/>
      <w:bookmarkEnd w:id="5"/>
    </w:p>
    <w:p w:rsidR="008B0B87" w:rsidRPr="00BF1E7D" w:rsidRDefault="008B0B87" w:rsidP="008B0B87">
      <w:pPr>
        <w:pStyle w:val="a3"/>
        <w:spacing w:line="360" w:lineRule="auto"/>
        <w:ind w:left="0" w:firstLine="993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6" w:name="_Toc185930907"/>
      <w:bookmarkStart w:id="7" w:name="_Toc186009847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Исследователь также выделяет следующие типы моногородов в зависимости от степени выраженности в них </w:t>
      </w:r>
      <w:proofErr w:type="spell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монопрофильности</w:t>
      </w:r>
      <w:proofErr w:type="spell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bookmarkEnd w:id="6"/>
      <w:bookmarkEnd w:id="7"/>
    </w:p>
    <w:p w:rsidR="008B0B87" w:rsidRPr="00BF1E7D" w:rsidRDefault="008B0B87" w:rsidP="008B0B87">
      <w:pPr>
        <w:pStyle w:val="a3"/>
        <w:spacing w:line="360" w:lineRule="auto"/>
        <w:ind w:left="0" w:firstLine="993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8" w:name="_Toc185930908"/>
      <w:bookmarkStart w:id="9" w:name="_Toc186009848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Малый город, являющийся узкоспециализированным центром, существующим на базе единственного предприятия (машиностроительного завода, текстильного предприятия, рудника или шахты.</w:t>
      </w:r>
      <w:bookmarkEnd w:id="8"/>
      <w:bookmarkEnd w:id="9"/>
    </w:p>
    <w:p w:rsidR="008B0B87" w:rsidRPr="00BF1E7D" w:rsidRDefault="008B0B87" w:rsidP="008B0B87">
      <w:pPr>
        <w:pStyle w:val="a3"/>
        <w:spacing w:line="360" w:lineRule="auto"/>
        <w:ind w:left="0" w:firstLine="993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10" w:name="_Toc185930909"/>
      <w:bookmarkStart w:id="11" w:name="_Toc186009849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Данный тип является классическим примером </w:t>
      </w:r>
      <w:proofErr w:type="spell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монопрофильности</w:t>
      </w:r>
      <w:proofErr w:type="spell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города, такие города в наибольшей степени зависят от градообразующего предприятия.</w:t>
      </w:r>
      <w:bookmarkEnd w:id="10"/>
      <w:bookmarkEnd w:id="11"/>
    </w:p>
    <w:p w:rsidR="008B0B87" w:rsidRPr="00BF1E7D" w:rsidRDefault="008B0B87" w:rsidP="008B0B87">
      <w:pPr>
        <w:pStyle w:val="a3"/>
        <w:spacing w:line="360" w:lineRule="auto"/>
        <w:ind w:left="0" w:firstLine="993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12" w:name="_Toc185930910"/>
      <w:bookmarkStart w:id="13" w:name="_Toc186009850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Малый или средний город, основой экономики которого являются два-три градообразующих предприятия относящихся к одной отрасли промышленности.</w:t>
      </w:r>
      <w:bookmarkEnd w:id="12"/>
      <w:bookmarkEnd w:id="13"/>
    </w:p>
    <w:p w:rsidR="008B0B87" w:rsidRPr="00BF1E7D" w:rsidRDefault="008B0B87" w:rsidP="008B0B87">
      <w:pPr>
        <w:pStyle w:val="a3"/>
        <w:spacing w:line="360" w:lineRule="auto"/>
        <w:ind w:left="0" w:firstLine="993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14" w:name="_Toc185930911"/>
      <w:bookmarkStart w:id="15" w:name="_Toc186009851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Малый или средний город, базирующийся на двух-трех видах деятельности, которые нередко связаны единым промышленным процессом или на сочетании отраслей легкой и тяжелой промышленности, позволяющем повысить эффективность использования имеющихся трудовых ресурсов;</w:t>
      </w:r>
      <w:bookmarkEnd w:id="14"/>
      <w:bookmarkEnd w:id="15"/>
    </w:p>
    <w:p w:rsidR="008B0B87" w:rsidRPr="00BF1E7D" w:rsidRDefault="008B0B87" w:rsidP="008B0B87">
      <w:pPr>
        <w:pStyle w:val="a3"/>
        <w:spacing w:line="360" w:lineRule="auto"/>
        <w:ind w:left="0" w:firstLine="993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16" w:name="_Toc185930912"/>
      <w:bookmarkStart w:id="17" w:name="_Toc186009852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4) В основном, средний город, существующий на базе нескольких отраслей, которые формируются на основе общего доминантного профиля. Примером данного типа могут служить </w:t>
      </w:r>
      <w:proofErr w:type="spell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наукограды</w:t>
      </w:r>
      <w:proofErr w:type="spell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 сочетается научная деятельность, подготовка кадров, опытное производство.</w:t>
      </w:r>
      <w:bookmarkEnd w:id="16"/>
      <w:bookmarkEnd w:id="17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0B87" w:rsidRPr="00BF1E7D" w:rsidRDefault="008B0B87" w:rsidP="008B0B87">
      <w:pPr>
        <w:pStyle w:val="a3"/>
        <w:spacing w:line="360" w:lineRule="auto"/>
        <w:ind w:left="0" w:firstLine="993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18" w:name="_Toc185930913"/>
      <w:bookmarkStart w:id="19" w:name="_Toc186009853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данным Министерства Регионального в России насчитывается 342 </w:t>
      </w:r>
      <w:proofErr w:type="spell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монопрофильных</w:t>
      </w:r>
      <w:proofErr w:type="spell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городов. Из них 157 – это города с населением менее 50 тыс. человек. Иными словами, 20% малых городов России характеризуются </w:t>
      </w:r>
      <w:proofErr w:type="spell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монопрофильностью</w:t>
      </w:r>
      <w:proofErr w:type="spell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 делает рассмотрение данной категории городов чрезвычайно важной частью исследования потенциальных направлений социально экономического развития городов с населением менее 50 тысяч человек. Среднестатистический малый моногород имеет население 25 700 человек, при этом 28 из них не дотягивают до городского критерия численности, то есть в них проживает менее 12 тыс. человек.</w:t>
      </w:r>
      <w:bookmarkEnd w:id="18"/>
      <w:bookmarkEnd w:id="19"/>
    </w:p>
    <w:p w:rsidR="008B0B87" w:rsidRPr="00D65153" w:rsidRDefault="008B0B87" w:rsidP="008B0B87">
      <w:pPr>
        <w:pStyle w:val="a3"/>
        <w:spacing w:line="360" w:lineRule="auto"/>
        <w:ind w:left="0" w:firstLine="993"/>
        <w:jc w:val="both"/>
        <w:outlineLvl w:val="0"/>
        <w:rPr>
          <w:rFonts w:ascii="Times New Roman" w:hAnsi="Times New Roman"/>
          <w:sz w:val="28"/>
          <w:szCs w:val="28"/>
          <w:lang w:val="en-US"/>
        </w:rPr>
      </w:pPr>
      <w:bookmarkStart w:id="20" w:name="_Toc185930914"/>
      <w:bookmarkStart w:id="21" w:name="_Toc186009854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 времена СССР возникновение и функционирование малых городов обуславливалась выполнением </w:t>
      </w:r>
      <w:r w:rsidRPr="00BF1E7D">
        <w:rPr>
          <w:rFonts w:ascii="Times New Roman" w:hAnsi="Times New Roman"/>
          <w:sz w:val="28"/>
          <w:szCs w:val="28"/>
        </w:rPr>
        <w:t xml:space="preserve">определенных стратегических функций, однако, они были не готовы к переходу на рыночные рельсы. На то был ряд причин: неконкурентоспособность продукции, непригодность сырья, отчуждение природы, человека и предприятия. </w:t>
      </w:r>
      <w:r>
        <w:rPr>
          <w:rFonts w:ascii="Times New Roman" w:hAnsi="Times New Roman"/>
          <w:sz w:val="28"/>
          <w:szCs w:val="28"/>
          <w:lang w:val="en-US"/>
        </w:rPr>
        <w:t>[49, c 53]</w:t>
      </w:r>
      <w:bookmarkEnd w:id="20"/>
      <w:bookmarkEnd w:id="21"/>
    </w:p>
    <w:p w:rsidR="008B0B87" w:rsidRPr="00BF1E7D" w:rsidRDefault="008B0B87" w:rsidP="008B0B87">
      <w:pPr>
        <w:pStyle w:val="a3"/>
        <w:spacing w:line="360" w:lineRule="auto"/>
        <w:ind w:left="0" w:firstLine="993"/>
        <w:jc w:val="both"/>
        <w:outlineLvl w:val="0"/>
        <w:rPr>
          <w:rFonts w:ascii="Times New Roman" w:hAnsi="Times New Roman"/>
          <w:sz w:val="28"/>
          <w:szCs w:val="28"/>
        </w:rPr>
      </w:pPr>
      <w:bookmarkStart w:id="22" w:name="_Toc185930915"/>
      <w:bookmarkStart w:id="23" w:name="_Toc186009855"/>
      <w:r w:rsidRPr="00BF1E7D">
        <w:rPr>
          <w:rFonts w:ascii="Times New Roman" w:hAnsi="Times New Roman"/>
          <w:sz w:val="28"/>
          <w:szCs w:val="28"/>
        </w:rPr>
        <w:t xml:space="preserve">Среди ключевых проблем моногородов выделяются </w:t>
      </w:r>
      <w:proofErr w:type="gramStart"/>
      <w:r w:rsidRPr="00BF1E7D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BF1E7D">
        <w:rPr>
          <w:rFonts w:ascii="Times New Roman" w:hAnsi="Times New Roman"/>
          <w:sz w:val="28"/>
          <w:szCs w:val="28"/>
        </w:rPr>
        <w:t>:</w:t>
      </w:r>
      <w:bookmarkEnd w:id="22"/>
      <w:bookmarkEnd w:id="23"/>
    </w:p>
    <w:p w:rsidR="008B0B87" w:rsidRPr="00BF1E7D" w:rsidRDefault="008B0B87" w:rsidP="008B0B87">
      <w:pPr>
        <w:pStyle w:val="a3"/>
        <w:numPr>
          <w:ilvl w:val="0"/>
          <w:numId w:val="2"/>
        </w:numPr>
        <w:spacing w:after="20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24" w:name="_Toc185930916"/>
      <w:bookmarkStart w:id="25" w:name="_Toc186009856"/>
      <w:r w:rsidRPr="00BF1E7D">
        <w:rPr>
          <w:rFonts w:ascii="Times New Roman" w:hAnsi="Times New Roman"/>
          <w:sz w:val="28"/>
          <w:szCs w:val="28"/>
        </w:rPr>
        <w:t>Высокий уровень зависимости муниципальных бюджетов от налоговых сборов, полученных от градообразующих предприятий;</w:t>
      </w:r>
      <w:bookmarkEnd w:id="24"/>
      <w:bookmarkEnd w:id="25"/>
    </w:p>
    <w:p w:rsidR="008B0B87" w:rsidRPr="00BF1E7D" w:rsidRDefault="008B0B87" w:rsidP="008B0B87">
      <w:pPr>
        <w:pStyle w:val="a3"/>
        <w:numPr>
          <w:ilvl w:val="0"/>
          <w:numId w:val="2"/>
        </w:numPr>
        <w:spacing w:after="20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26" w:name="_Toc185930917"/>
      <w:bookmarkStart w:id="27" w:name="_Toc186009857"/>
      <w:r w:rsidRPr="00BF1E7D">
        <w:rPr>
          <w:rFonts w:ascii="Times New Roman" w:hAnsi="Times New Roman"/>
          <w:sz w:val="28"/>
          <w:szCs w:val="28"/>
        </w:rPr>
        <w:t>Износ основных фондов, применение устаревших технологий;</w:t>
      </w:r>
      <w:bookmarkEnd w:id="26"/>
      <w:bookmarkEnd w:id="27"/>
    </w:p>
    <w:p w:rsidR="008B0B87" w:rsidRPr="00BF1E7D" w:rsidRDefault="008B0B87" w:rsidP="008B0B87">
      <w:pPr>
        <w:pStyle w:val="a3"/>
        <w:numPr>
          <w:ilvl w:val="0"/>
          <w:numId w:val="2"/>
        </w:numPr>
        <w:spacing w:after="20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28" w:name="_Toc185930918"/>
      <w:bookmarkStart w:id="29" w:name="_Toc186009858"/>
      <w:r w:rsidRPr="00BF1E7D">
        <w:rPr>
          <w:rFonts w:ascii="Times New Roman" w:hAnsi="Times New Roman"/>
          <w:sz w:val="28"/>
          <w:szCs w:val="28"/>
        </w:rPr>
        <w:t>Удаленность моногородов от региональных центров, неразвитая транспортная инфраструктура;</w:t>
      </w:r>
      <w:bookmarkEnd w:id="28"/>
      <w:bookmarkEnd w:id="29"/>
    </w:p>
    <w:p w:rsidR="008B0B87" w:rsidRPr="00BF1E7D" w:rsidRDefault="008B0B87" w:rsidP="008B0B87">
      <w:pPr>
        <w:pStyle w:val="a3"/>
        <w:numPr>
          <w:ilvl w:val="0"/>
          <w:numId w:val="2"/>
        </w:numPr>
        <w:spacing w:after="20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30" w:name="_Toc185930919"/>
      <w:bookmarkStart w:id="31" w:name="_Toc186009859"/>
      <w:r w:rsidRPr="00BF1E7D">
        <w:rPr>
          <w:rFonts w:ascii="Times New Roman" w:hAnsi="Times New Roman"/>
          <w:sz w:val="28"/>
          <w:szCs w:val="28"/>
        </w:rPr>
        <w:t>Задолженности по заработной плате;</w:t>
      </w:r>
      <w:bookmarkEnd w:id="30"/>
      <w:bookmarkEnd w:id="31"/>
    </w:p>
    <w:p w:rsidR="008B0B87" w:rsidRPr="00BF1E7D" w:rsidRDefault="008B0B87" w:rsidP="008B0B87">
      <w:pPr>
        <w:pStyle w:val="a3"/>
        <w:numPr>
          <w:ilvl w:val="0"/>
          <w:numId w:val="2"/>
        </w:num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32" w:name="_Toc185930920"/>
      <w:bookmarkStart w:id="33" w:name="_Toc186009860"/>
      <w:r w:rsidRPr="00BF1E7D">
        <w:rPr>
          <w:rFonts w:ascii="Times New Roman" w:hAnsi="Times New Roman"/>
          <w:sz w:val="28"/>
          <w:szCs w:val="28"/>
        </w:rPr>
        <w:t>Неблагоприятная экологическая ситуация.</w:t>
      </w:r>
      <w:bookmarkEnd w:id="32"/>
      <w:bookmarkEnd w:id="33"/>
    </w:p>
    <w:p w:rsidR="008B0B87" w:rsidRPr="00BF1E7D" w:rsidRDefault="008B0B87" w:rsidP="008B0B87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bookmarkStart w:id="34" w:name="_Toc185930921"/>
      <w:bookmarkStart w:id="35" w:name="_Toc186009861"/>
      <w:r w:rsidRPr="00BF1E7D">
        <w:rPr>
          <w:sz w:val="28"/>
          <w:szCs w:val="28"/>
        </w:rPr>
        <w:t>В ходе написания данной работы была изучена база данных Министерства регионального развития РФ. В частности было установлено, что практически в трети малых моногородах градообразующие предприятия являются убыточными. Следует также отметить, что во многих городах среднесписочная численность работников градообразующих предприятий не превышает 10% от общей численности экономически активного населения.</w:t>
      </w:r>
      <w:bookmarkEnd w:id="34"/>
      <w:bookmarkEnd w:id="35"/>
    </w:p>
    <w:p w:rsidR="008B0B87" w:rsidRPr="00BF1E7D" w:rsidRDefault="008B0B87" w:rsidP="008B0B87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bookmarkStart w:id="36" w:name="_Toc185930922"/>
      <w:bookmarkStart w:id="37" w:name="_Toc186009862"/>
      <w:r w:rsidRPr="00BF1E7D">
        <w:rPr>
          <w:sz w:val="28"/>
          <w:szCs w:val="28"/>
        </w:rPr>
        <w:t xml:space="preserve">Городская </w:t>
      </w:r>
      <w:proofErr w:type="spellStart"/>
      <w:r w:rsidRPr="00BF1E7D">
        <w:rPr>
          <w:sz w:val="28"/>
          <w:szCs w:val="28"/>
        </w:rPr>
        <w:t>полифункциональность</w:t>
      </w:r>
      <w:proofErr w:type="spellEnd"/>
      <w:r w:rsidRPr="00BF1E7D">
        <w:rPr>
          <w:sz w:val="28"/>
          <w:szCs w:val="28"/>
        </w:rPr>
        <w:t xml:space="preserve"> способствует образованию внешней межотраслевой экономии масштаба, которая подразумевает: 1) улучшение транспортной инфраструктуры; 2) повышение уровня предоставления финансовых и коммерческих услуг; 3) гибкий и емкий рынок трудовых ресурсов.</w:t>
      </w:r>
      <w:bookmarkEnd w:id="36"/>
      <w:bookmarkEnd w:id="37"/>
    </w:p>
    <w:p w:rsidR="008B0B87" w:rsidRPr="00BF1E7D" w:rsidRDefault="008B0B87" w:rsidP="008B0B87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bookmarkStart w:id="38" w:name="_Toc185930923"/>
      <w:bookmarkStart w:id="39" w:name="_Toc186009863"/>
      <w:r w:rsidRPr="00BF1E7D">
        <w:rPr>
          <w:sz w:val="28"/>
          <w:szCs w:val="28"/>
        </w:rPr>
        <w:t xml:space="preserve">Однако </w:t>
      </w:r>
      <w:proofErr w:type="spellStart"/>
      <w:r w:rsidRPr="00BF1E7D">
        <w:rPr>
          <w:sz w:val="28"/>
          <w:szCs w:val="28"/>
        </w:rPr>
        <w:t>монофункциональность</w:t>
      </w:r>
      <w:proofErr w:type="spellEnd"/>
      <w:r w:rsidRPr="00BF1E7D">
        <w:rPr>
          <w:sz w:val="28"/>
          <w:szCs w:val="28"/>
        </w:rPr>
        <w:t xml:space="preserve"> не следует воспринимать исключительно в негативном контексте. Например, она способствует повышению качества производимой продукции за счет сосредоточения ресурсов в одной отрасли. Г.М. Лаппо отмечает естественность и закономерность возникновения монофункциональных городов, также их необходимость для решения следующих общегосударственных вопросов:</w:t>
      </w:r>
      <w:bookmarkEnd w:id="38"/>
      <w:bookmarkEnd w:id="39"/>
    </w:p>
    <w:p w:rsidR="008B0B87" w:rsidRPr="00BF1E7D" w:rsidRDefault="008B0B87" w:rsidP="008B0B87">
      <w:pPr>
        <w:pStyle w:val="a3"/>
        <w:numPr>
          <w:ilvl w:val="0"/>
          <w:numId w:val="3"/>
        </w:numPr>
        <w:spacing w:after="20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40" w:name="_Toc185930924"/>
      <w:bookmarkStart w:id="41" w:name="_Toc186009864"/>
      <w:r w:rsidRPr="00BF1E7D">
        <w:rPr>
          <w:rFonts w:ascii="Times New Roman" w:hAnsi="Times New Roman"/>
          <w:sz w:val="28"/>
          <w:szCs w:val="28"/>
        </w:rPr>
        <w:t>Развития производственных отраслей и регионов;</w:t>
      </w:r>
      <w:bookmarkEnd w:id="40"/>
      <w:bookmarkEnd w:id="41"/>
    </w:p>
    <w:p w:rsidR="008B0B87" w:rsidRPr="00BF1E7D" w:rsidRDefault="008B0B87" w:rsidP="008B0B87">
      <w:pPr>
        <w:pStyle w:val="a3"/>
        <w:numPr>
          <w:ilvl w:val="0"/>
          <w:numId w:val="3"/>
        </w:numPr>
        <w:spacing w:after="20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42" w:name="_Toc185930925"/>
      <w:bookmarkStart w:id="43" w:name="_Toc186009865"/>
      <w:r w:rsidRPr="00BF1E7D">
        <w:rPr>
          <w:rFonts w:ascii="Times New Roman" w:hAnsi="Times New Roman"/>
          <w:sz w:val="28"/>
          <w:szCs w:val="28"/>
        </w:rPr>
        <w:t>Укрепления оборонного комплекса;</w:t>
      </w:r>
      <w:bookmarkEnd w:id="42"/>
      <w:bookmarkEnd w:id="43"/>
    </w:p>
    <w:p w:rsidR="008B0B87" w:rsidRPr="00BF1E7D" w:rsidRDefault="008B0B87" w:rsidP="008B0B87">
      <w:pPr>
        <w:pStyle w:val="a3"/>
        <w:numPr>
          <w:ilvl w:val="0"/>
          <w:numId w:val="3"/>
        </w:numPr>
        <w:spacing w:after="20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44" w:name="_Toc185930926"/>
      <w:bookmarkStart w:id="45" w:name="_Toc186009866"/>
      <w:r w:rsidRPr="00BF1E7D">
        <w:rPr>
          <w:rFonts w:ascii="Times New Roman" w:hAnsi="Times New Roman"/>
          <w:sz w:val="28"/>
          <w:szCs w:val="28"/>
        </w:rPr>
        <w:t>Развития инфраструктуры;</w:t>
      </w:r>
      <w:bookmarkEnd w:id="44"/>
      <w:bookmarkEnd w:id="45"/>
    </w:p>
    <w:p w:rsidR="008B0B87" w:rsidRPr="00BF1E7D" w:rsidRDefault="008B0B87" w:rsidP="008B0B87">
      <w:pPr>
        <w:pStyle w:val="a3"/>
        <w:numPr>
          <w:ilvl w:val="0"/>
          <w:numId w:val="3"/>
        </w:numPr>
        <w:spacing w:after="20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46" w:name="_Toc185930927"/>
      <w:bookmarkStart w:id="47" w:name="_Toc186009867"/>
      <w:r w:rsidRPr="00BF1E7D">
        <w:rPr>
          <w:rFonts w:ascii="Times New Roman" w:hAnsi="Times New Roman"/>
          <w:sz w:val="28"/>
          <w:szCs w:val="28"/>
        </w:rPr>
        <w:t>Освоения новых районов, не только в качестве сырьевых источников, но и как узлов коммуникаций, культурных центров коренных народов;</w:t>
      </w:r>
      <w:bookmarkEnd w:id="46"/>
      <w:bookmarkEnd w:id="47"/>
    </w:p>
    <w:p w:rsidR="008B0B87" w:rsidRPr="00BF1E7D" w:rsidRDefault="008B0B87" w:rsidP="008B0B87">
      <w:pPr>
        <w:pStyle w:val="a3"/>
        <w:numPr>
          <w:ilvl w:val="0"/>
          <w:numId w:val="3"/>
        </w:numPr>
        <w:spacing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48" w:name="_Toc185930928"/>
      <w:bookmarkStart w:id="49" w:name="_Toc186009868"/>
      <w:r w:rsidRPr="00BF1E7D">
        <w:rPr>
          <w:rFonts w:ascii="Times New Roman" w:hAnsi="Times New Roman"/>
          <w:sz w:val="28"/>
          <w:szCs w:val="28"/>
        </w:rPr>
        <w:t>Развития системы здравоохранения.</w:t>
      </w:r>
      <w:bookmarkEnd w:id="48"/>
      <w:bookmarkEnd w:id="49"/>
    </w:p>
    <w:p w:rsidR="008B0B87" w:rsidRPr="00BF1E7D" w:rsidRDefault="008B0B87" w:rsidP="008B0B87">
      <w:pPr>
        <w:spacing w:line="360" w:lineRule="auto"/>
        <w:ind w:firstLine="851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bookmarkStart w:id="50" w:name="_Toc185930929"/>
      <w:bookmarkStart w:id="51" w:name="_Toc186009869"/>
      <w:r w:rsidRPr="00BF1E7D">
        <w:rPr>
          <w:color w:val="000000"/>
          <w:sz w:val="28"/>
          <w:szCs w:val="28"/>
          <w:shd w:val="clear" w:color="auto" w:fill="FFFFFF"/>
        </w:rPr>
        <w:t xml:space="preserve">Автор также отмечает необходимость дальнейшего социально-экономического развития </w:t>
      </w:r>
      <w:proofErr w:type="spellStart"/>
      <w:r w:rsidRPr="00BF1E7D">
        <w:rPr>
          <w:color w:val="000000"/>
          <w:sz w:val="28"/>
          <w:szCs w:val="28"/>
          <w:shd w:val="clear" w:color="auto" w:fill="FFFFFF"/>
        </w:rPr>
        <w:t>монопрофильных</w:t>
      </w:r>
      <w:proofErr w:type="spellEnd"/>
      <w:r w:rsidRPr="00BF1E7D">
        <w:rPr>
          <w:color w:val="000000"/>
          <w:sz w:val="28"/>
          <w:szCs w:val="28"/>
          <w:shd w:val="clear" w:color="auto" w:fill="FFFFFF"/>
        </w:rPr>
        <w:t xml:space="preserve"> городов исходя из типологического подхода, ввиду их разнообразия и индивидуальности. Типологический подход при этом должен основываться на научном исследовании вопросов моногородов. Необходимо также развивать местную инициативу и основываться на успешном опыте в решении подобных вопросов. Автор отмечает, что многие моногорода стремятся к </w:t>
      </w:r>
      <w:proofErr w:type="spellStart"/>
      <w:r w:rsidRPr="00BF1E7D">
        <w:rPr>
          <w:color w:val="000000"/>
          <w:sz w:val="28"/>
          <w:szCs w:val="28"/>
          <w:shd w:val="clear" w:color="auto" w:fill="FFFFFF"/>
        </w:rPr>
        <w:t>полифункциональности</w:t>
      </w:r>
      <w:proofErr w:type="spellEnd"/>
      <w:r w:rsidRPr="00BF1E7D">
        <w:rPr>
          <w:color w:val="000000"/>
          <w:sz w:val="28"/>
          <w:szCs w:val="28"/>
          <w:shd w:val="clear" w:color="auto" w:fill="FFFFFF"/>
        </w:rPr>
        <w:t xml:space="preserve"> и данный процесс является вполне естественным.</w:t>
      </w:r>
      <w:bookmarkEnd w:id="50"/>
      <w:bookmarkEnd w:id="51"/>
    </w:p>
    <w:p w:rsidR="008B0B87" w:rsidRPr="00BF1E7D" w:rsidRDefault="008B0B87" w:rsidP="008B0B87">
      <w:pPr>
        <w:pStyle w:val="a3"/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Другим критерием для классификации малых городов может служить экономико-географическое положение, на основании которого города подразделяются на внутренние и приграничные; имеющие железнодорожную станцию, аэродром или пристань; находящиеся поблизости от зон военной напряженности или нет; расположенные вблизи крупных агломераций или стоящие отдельно.</w:t>
      </w:r>
      <w:proofErr w:type="gram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Именно на основании соседства с крупным городом выделяется особая категория городов – города-спутники. </w:t>
      </w:r>
    </w:p>
    <w:p w:rsidR="008B0B87" w:rsidRPr="00BF1E7D" w:rsidRDefault="008B0B87" w:rsidP="008B0B87">
      <w:pPr>
        <w:pStyle w:val="a3"/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Процесс возникновения городов-спутников является результатом интенсивного процесса урбанизации последних ста лет. Скопление таких городов вокруг основных ядер образуют городскую агломерацию. При этом под агломерацией следует понимать не просто сосредоточение городов, а именно тесное взаимодействие одного-двух центров с близлежащими поселениями и районами. У агломераций есть ряд преимуществ. Такое образование не лишает города самостоятельности в решении местных вопросов, способствуя при этом осуществлению совместных исследований и проектов, разработку общих стратегий развития.</w:t>
      </w:r>
    </w:p>
    <w:p w:rsidR="008B0B87" w:rsidRDefault="008B0B87" w:rsidP="008B0B87">
      <w:pPr>
        <w:pStyle w:val="a3"/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Некоторые города-спутники строились непосредственно по разработанным для такого типа городов проектов (Зеленоград), но в </w:t>
      </w:r>
      <w:proofErr w:type="spell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геоурбанистике</w:t>
      </w:r>
      <w:proofErr w:type="spell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 спутниками принято понимать все города, расположенные в зоне влияния крупного центра (Дзержинский, Котельники, Юбилейный, Щербинка).</w:t>
      </w:r>
    </w:p>
    <w:p w:rsidR="008B0B87" w:rsidRPr="00BF1E7D" w:rsidRDefault="008B0B87" w:rsidP="008B0B87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BF1E7D">
        <w:rPr>
          <w:color w:val="000000"/>
          <w:sz w:val="28"/>
          <w:szCs w:val="28"/>
          <w:shd w:val="clear" w:color="auto" w:fill="FFFFFF"/>
        </w:rPr>
        <w:t>Наукограды</w:t>
      </w:r>
      <w:proofErr w:type="spellEnd"/>
      <w:r w:rsidRPr="00BF1E7D">
        <w:rPr>
          <w:color w:val="000000"/>
          <w:sz w:val="28"/>
          <w:szCs w:val="28"/>
          <w:shd w:val="clear" w:color="auto" w:fill="FFFFFF"/>
        </w:rPr>
        <w:t xml:space="preserve"> – явление достаточно новое, они возникли в Советском Союзе по большей части во второй половине прошлого столетия. Сам термин «</w:t>
      </w:r>
      <w:proofErr w:type="spellStart"/>
      <w:r w:rsidRPr="00BF1E7D">
        <w:rPr>
          <w:color w:val="000000"/>
          <w:sz w:val="28"/>
          <w:szCs w:val="28"/>
          <w:shd w:val="clear" w:color="auto" w:fill="FFFFFF"/>
        </w:rPr>
        <w:t>наукоград</w:t>
      </w:r>
      <w:proofErr w:type="spellEnd"/>
      <w:r w:rsidRPr="00BF1E7D">
        <w:rPr>
          <w:color w:val="000000"/>
          <w:sz w:val="28"/>
          <w:szCs w:val="28"/>
          <w:shd w:val="clear" w:color="auto" w:fill="FFFFFF"/>
        </w:rPr>
        <w:t xml:space="preserve">» впервые был введен в 1990-х годах и обозначал населенные пункты, градообразующим предприятием которых являлись организации, связанные с научно-техническим развитием государства. В настоящий момент под </w:t>
      </w:r>
      <w:proofErr w:type="spellStart"/>
      <w:r w:rsidRPr="00BF1E7D">
        <w:rPr>
          <w:color w:val="000000"/>
          <w:sz w:val="28"/>
          <w:szCs w:val="28"/>
          <w:shd w:val="clear" w:color="auto" w:fill="FFFFFF"/>
        </w:rPr>
        <w:t>наукоградом</w:t>
      </w:r>
      <w:proofErr w:type="spellEnd"/>
      <w:r w:rsidRPr="00BF1E7D">
        <w:rPr>
          <w:color w:val="000000"/>
          <w:sz w:val="28"/>
          <w:szCs w:val="28"/>
          <w:shd w:val="clear" w:color="auto" w:fill="FFFFFF"/>
        </w:rPr>
        <w:t xml:space="preserve"> понимается город с высокой степенью концентрации научно-технического и интеллектуального потенциала. Г.М. Лаппо в статье «Монофункциональные города: состояние и проблемы» выделяет </w:t>
      </w:r>
      <w:proofErr w:type="spellStart"/>
      <w:r w:rsidRPr="00BF1E7D">
        <w:rPr>
          <w:color w:val="000000"/>
          <w:sz w:val="28"/>
          <w:szCs w:val="28"/>
          <w:shd w:val="clear" w:color="auto" w:fill="FFFFFF"/>
        </w:rPr>
        <w:t>наукограды</w:t>
      </w:r>
      <w:proofErr w:type="spellEnd"/>
      <w:r w:rsidRPr="00BF1E7D">
        <w:rPr>
          <w:color w:val="000000"/>
          <w:sz w:val="28"/>
          <w:szCs w:val="28"/>
          <w:shd w:val="clear" w:color="auto" w:fill="FFFFFF"/>
        </w:rPr>
        <w:t xml:space="preserve"> как один из функциональных типов моногородов.</w:t>
      </w:r>
    </w:p>
    <w:p w:rsidR="008B0B87" w:rsidRPr="00BF1E7D" w:rsidRDefault="008B0B87" w:rsidP="008B0B87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F1E7D">
        <w:rPr>
          <w:color w:val="000000"/>
          <w:sz w:val="28"/>
          <w:szCs w:val="28"/>
          <w:shd w:val="clear" w:color="auto" w:fill="FFFFFF"/>
        </w:rPr>
        <w:t xml:space="preserve">Появление </w:t>
      </w:r>
      <w:proofErr w:type="spellStart"/>
      <w:r w:rsidRPr="00BF1E7D">
        <w:rPr>
          <w:color w:val="000000"/>
          <w:sz w:val="28"/>
          <w:szCs w:val="28"/>
          <w:shd w:val="clear" w:color="auto" w:fill="FFFFFF"/>
        </w:rPr>
        <w:t>наукоградов</w:t>
      </w:r>
      <w:proofErr w:type="spellEnd"/>
      <w:r w:rsidRPr="00BF1E7D">
        <w:rPr>
          <w:color w:val="000000"/>
          <w:sz w:val="28"/>
          <w:szCs w:val="28"/>
          <w:shd w:val="clear" w:color="auto" w:fill="FFFFFF"/>
        </w:rPr>
        <w:t xml:space="preserve"> обуславливалось необходимостью выполнения ряда важнейших общегосударственных программ – ракетно-космической, атомной, создания новейшего вооружения. В первую очередь работа всех </w:t>
      </w:r>
      <w:proofErr w:type="spellStart"/>
      <w:r w:rsidRPr="00BF1E7D">
        <w:rPr>
          <w:color w:val="000000"/>
          <w:sz w:val="28"/>
          <w:szCs w:val="28"/>
          <w:shd w:val="clear" w:color="auto" w:fill="FFFFFF"/>
        </w:rPr>
        <w:t>наукоградов</w:t>
      </w:r>
      <w:proofErr w:type="spellEnd"/>
      <w:r w:rsidRPr="00BF1E7D">
        <w:rPr>
          <w:color w:val="000000"/>
          <w:sz w:val="28"/>
          <w:szCs w:val="28"/>
          <w:shd w:val="clear" w:color="auto" w:fill="FFFFFF"/>
        </w:rPr>
        <w:t xml:space="preserve"> была тесно связана с военно-промышленным комплексом, что определяло строжайшую секретность. Иными словами, в таких городах и трудовые коллективы, и тысячи семей были помещены «под купол» секретности, подписки о неразглашении и перекрестной подозрительности.</w:t>
      </w:r>
    </w:p>
    <w:p w:rsidR="008B0B87" w:rsidRPr="00BF1E7D" w:rsidRDefault="008B0B87" w:rsidP="008B0B87">
      <w:pPr>
        <w:spacing w:line="360" w:lineRule="auto"/>
        <w:ind w:firstLine="567"/>
        <w:jc w:val="both"/>
        <w:rPr>
          <w:color w:val="1F497D" w:themeColor="text2"/>
          <w:sz w:val="28"/>
          <w:szCs w:val="28"/>
          <w:shd w:val="clear" w:color="auto" w:fill="FFFFFF"/>
        </w:rPr>
      </w:pPr>
      <w:r w:rsidRPr="00BF1E7D">
        <w:rPr>
          <w:color w:val="000000"/>
          <w:sz w:val="28"/>
          <w:szCs w:val="28"/>
          <w:shd w:val="clear" w:color="auto" w:fill="FFFFFF"/>
        </w:rPr>
        <w:t xml:space="preserve">На протяжении долгого периода времени </w:t>
      </w:r>
      <w:proofErr w:type="spellStart"/>
      <w:r w:rsidRPr="00BF1E7D">
        <w:rPr>
          <w:color w:val="000000"/>
          <w:sz w:val="28"/>
          <w:szCs w:val="28"/>
          <w:shd w:val="clear" w:color="auto" w:fill="FFFFFF"/>
        </w:rPr>
        <w:t>наукограды</w:t>
      </w:r>
      <w:proofErr w:type="spellEnd"/>
      <w:r w:rsidRPr="00BF1E7D">
        <w:rPr>
          <w:color w:val="000000"/>
          <w:sz w:val="28"/>
          <w:szCs w:val="28"/>
          <w:shd w:val="clear" w:color="auto" w:fill="FFFFFF"/>
        </w:rPr>
        <w:t xml:space="preserve"> подразделялись на две большие категории: «открытые» и «закрытые». Жители второй категории городов находились в положении административной и практической изоляции, территорию таких городов окружают контрольная и запретная зона, внутрь можно попасть исключительно через контрольно-пропускной </w:t>
      </w:r>
      <w:r w:rsidRPr="00BF1E7D">
        <w:rPr>
          <w:sz w:val="28"/>
          <w:szCs w:val="28"/>
          <w:shd w:val="clear" w:color="auto" w:fill="FFFFFF"/>
        </w:rPr>
        <w:t xml:space="preserve">пункт. Закрытые города были </w:t>
      </w:r>
      <w:proofErr w:type="spellStart"/>
      <w:r w:rsidRPr="00BF1E7D">
        <w:rPr>
          <w:sz w:val="28"/>
          <w:szCs w:val="28"/>
          <w:shd w:val="clear" w:color="auto" w:fill="FFFFFF"/>
        </w:rPr>
        <w:t>легитимизированы</w:t>
      </w:r>
      <w:proofErr w:type="spellEnd"/>
      <w:r w:rsidRPr="00BF1E7D">
        <w:rPr>
          <w:sz w:val="28"/>
          <w:szCs w:val="28"/>
          <w:shd w:val="clear" w:color="auto" w:fill="FFFFFF"/>
        </w:rPr>
        <w:t xml:space="preserve"> в 1994 году, о чем речь пойдет ниже.</w:t>
      </w:r>
    </w:p>
    <w:p w:rsidR="008B0B87" w:rsidRPr="00BF1E7D" w:rsidRDefault="008B0B87" w:rsidP="008B0B8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«Открытость» первой группы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наукоградов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не означает меньшей значимости для целей государства, многие фундаментальные исследования по ядерной физике, добыча урановой руды, проектирование и строительство атомных реакторов проходили именно в открытых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наукоградах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(Обнинске,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Краснокаменске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>, Колпино).</w:t>
      </w:r>
      <w:proofErr w:type="gramEnd"/>
    </w:p>
    <w:p w:rsidR="008B0B87" w:rsidRPr="003246D8" w:rsidRDefault="008B0B87" w:rsidP="008B0B87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 Президента РФ «О мерах по развитию </w:t>
      </w:r>
      <w:proofErr w:type="spellStart"/>
      <w:r w:rsidRPr="00BF1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наукоградов</w:t>
      </w:r>
      <w:proofErr w:type="spellEnd"/>
      <w:r w:rsidRPr="00BF1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городов науки и высоких технологий» от 07.11.97 положил начало государственной политике в отношении </w:t>
      </w:r>
      <w:proofErr w:type="spellStart"/>
      <w:r w:rsidRPr="00BF1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наукоградов</w:t>
      </w:r>
      <w:proofErr w:type="spellEnd"/>
      <w:r w:rsidRPr="00BF1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данном акте впервые дается определение </w:t>
      </w:r>
      <w:proofErr w:type="spellStart"/>
      <w:r w:rsidRPr="00BF1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наукоградам</w:t>
      </w:r>
      <w:proofErr w:type="spellEnd"/>
      <w:r w:rsidRPr="00BF1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муниципальным образованиям </w:t>
      </w:r>
      <w:r w:rsidRPr="00BF1E7D">
        <w:rPr>
          <w:rFonts w:ascii="Times New Roman" w:hAnsi="Times New Roman" w:cs="Times New Roman"/>
          <w:sz w:val="28"/>
          <w:szCs w:val="28"/>
        </w:rPr>
        <w:t xml:space="preserve">«с градообразующими научно-производственными комплексами, осуществляющими научную, научно-техническую, инновационную деятельность, экспериментальные разработки и подготовку кадров по приоритетным для государства направлениям развития науки и техники». Через два года подписан Федеральный закон </w:t>
      </w:r>
      <w:r w:rsidRPr="00BF1E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F1E7D">
        <w:rPr>
          <w:rFonts w:ascii="Times New Roman" w:hAnsi="Times New Roman" w:cs="Times New Roman"/>
          <w:sz w:val="28"/>
          <w:szCs w:val="28"/>
        </w:rPr>
        <w:t xml:space="preserve"> 70-ФЗ «О статусе </w:t>
      </w:r>
      <w:proofErr w:type="spellStart"/>
      <w:r w:rsidRPr="00BF1E7D"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 w:rsidRPr="00BF1E7D">
        <w:rPr>
          <w:rFonts w:ascii="Times New Roman" w:hAnsi="Times New Roman" w:cs="Times New Roman"/>
          <w:sz w:val="28"/>
          <w:szCs w:val="28"/>
        </w:rPr>
        <w:t xml:space="preserve"> РФ». В 2000 году первым городом, получившим статус </w:t>
      </w:r>
      <w:proofErr w:type="spellStart"/>
      <w:r w:rsidRPr="00BF1E7D"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 w:rsidRPr="00BF1E7D">
        <w:rPr>
          <w:rFonts w:ascii="Times New Roman" w:hAnsi="Times New Roman" w:cs="Times New Roman"/>
          <w:sz w:val="28"/>
          <w:szCs w:val="28"/>
        </w:rPr>
        <w:t xml:space="preserve">, стал Обнинск в Калужской области. </w:t>
      </w:r>
      <w:r w:rsidRPr="003246D8">
        <w:rPr>
          <w:rFonts w:ascii="Times New Roman" w:hAnsi="Times New Roman" w:cs="Times New Roman"/>
          <w:sz w:val="28"/>
          <w:szCs w:val="28"/>
        </w:rPr>
        <w:t xml:space="preserve">[60,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246D8">
        <w:rPr>
          <w:rFonts w:ascii="Times New Roman" w:hAnsi="Times New Roman" w:cs="Times New Roman"/>
          <w:sz w:val="28"/>
          <w:szCs w:val="28"/>
        </w:rPr>
        <w:t>. 207]</w:t>
      </w:r>
    </w:p>
    <w:p w:rsidR="008B0B87" w:rsidRPr="00BF1E7D" w:rsidRDefault="008B0B87" w:rsidP="008B0B87">
      <w:pPr>
        <w:pStyle w:val="HTML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1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настоящий момент официальный статус присвоен лишь 14 </w:t>
      </w:r>
      <w:proofErr w:type="spellStart"/>
      <w:r w:rsidRPr="00BF1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наукоградам</w:t>
      </w:r>
      <w:proofErr w:type="spellEnd"/>
      <w:r w:rsidRPr="00BF1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из которых только 3 являются городами с населением менее 50 тысяч человек – это Пущино, Черноголовка и Протвино Московской области. Официальный статус «</w:t>
      </w:r>
      <w:proofErr w:type="spellStart"/>
      <w:r w:rsidRPr="00BF1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наукограда</w:t>
      </w:r>
      <w:proofErr w:type="spellEnd"/>
      <w:r w:rsidRPr="00BF1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присваивается при соблюдении следующих критериев: 1) 15% работников заняты в научно-производственном секторе; 2) не менее половины совокупного объема продукции предприятий </w:t>
      </w:r>
      <w:proofErr w:type="spellStart"/>
      <w:r w:rsidRPr="00BF1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наукограда</w:t>
      </w:r>
      <w:proofErr w:type="spellEnd"/>
      <w:r w:rsidRPr="00BF1E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стоимостном выражении должна составлять продукция научно-технического сектора.</w:t>
      </w:r>
    </w:p>
    <w:p w:rsidR="008B0B87" w:rsidRPr="00BF1E7D" w:rsidRDefault="008B0B87" w:rsidP="008B0B8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Говоря обо всех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наукоградах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, в том числе не получивших официального статуса, их в Российской Федерации насчитывается около 70 – это как городские, так и сельские поселения. В большей части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наукограды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сконцентрированы в Центральной части России (Московская, Владимирская, Калужская области), на Урале (Челябинская и Свердловская области) и в Западной Сибири (Томская и Новосибирская области, Алтайский край). </w:t>
      </w:r>
      <w:proofErr w:type="gramStart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В 21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наукограде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население составляет менее 50 тысяч человек (г. Мирный в Архангельской области, г. Знаменск в Астраханской области, г. Радужный во Владимирской области, г. Приморск в Ленинградской области, г. Дзержинский, г. Истра, г. Красноармейск, г. Краснознаменск, г.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Пересвет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>, г. Протвино, г. Пущино, г. Черноголовка, г. Юбилейный в Московской области, г. Зерноград в Ростовской области, г. Заречный, г. Лесной, г</w:t>
      </w:r>
      <w:proofErr w:type="gram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Нижняя Салда в Свердловской области, г.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Снежинск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>, г. Трехгорный, г. Усть-Катав в Челябинской области, г. Переславль-Залесский в Ярославской области).</w:t>
      </w:r>
      <w:proofErr w:type="gramEnd"/>
    </w:p>
    <w:p w:rsidR="008B0B87" w:rsidRPr="00BF1E7D" w:rsidRDefault="008B0B87" w:rsidP="008B0B8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Города Московской области в большинстве своем специализированы на авиаракетостроении и космических исследованиях, в том числе и малые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наукограды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данного региона – Юбилейный, Краснознаменск. В Юбилейном расположены научно-исследовательские институты (НИИ), деятельность которых связана с ракетно-космическим комплексом, а в Краснознаменске – Главный центр по испытаниям и управлению космическими полетами. Также на космических исследованиях специализируются города Мирный и Знаменск. </w:t>
      </w:r>
    </w:p>
    <w:p w:rsidR="008B0B87" w:rsidRPr="00BF1E7D" w:rsidRDefault="008B0B87" w:rsidP="008B0B8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Уральские города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Снежинск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gramStart"/>
      <w:r w:rsidRPr="00BF1E7D">
        <w:rPr>
          <w:color w:val="000000" w:themeColor="text1"/>
          <w:sz w:val="28"/>
          <w:szCs w:val="28"/>
          <w:shd w:val="clear" w:color="auto" w:fill="FFFFFF"/>
        </w:rPr>
        <w:t>Трехгорный</w:t>
      </w:r>
      <w:proofErr w:type="gram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– 2 малых города из 10 российских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атомградов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, которые были созданы в рамках советской атомного проекта. В </w:t>
      </w:r>
      <w:proofErr w:type="gramStart"/>
      <w:r w:rsidRPr="00BF1E7D">
        <w:rPr>
          <w:color w:val="000000" w:themeColor="text1"/>
          <w:sz w:val="28"/>
          <w:szCs w:val="28"/>
          <w:shd w:val="clear" w:color="auto" w:fill="FFFFFF"/>
        </w:rPr>
        <w:t>Трехгорном</w:t>
      </w:r>
      <w:proofErr w:type="gram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расположены предприятия, занимающиеся производством ядерного оружия, а в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Снежинске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размещены как производственные предприятия, так и крупнейшие научные центры в данной области. Протвино, не являясь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атомградом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>, относится к городам атомного цикла, где расположены научно-исследовательские институты, специализирующиеся на ядерной сфере.</w:t>
      </w:r>
    </w:p>
    <w:p w:rsidR="008B0B87" w:rsidRPr="00D65153" w:rsidRDefault="008B0B87" w:rsidP="008B0B8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Город Заречный Свердловской области относится к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наукоградам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, профилям которых является энергетика. Специализация Переславля-Залесского – это химия; предприятия данного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городского </w:t>
      </w:r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поселения занимаются переработкой уранового топлива. Город Пущино в Московской области – один из 5 </w:t>
      </w:r>
      <w:proofErr w:type="gramStart"/>
      <w:r w:rsidRPr="00BF1E7D">
        <w:rPr>
          <w:color w:val="000000" w:themeColor="text1"/>
          <w:sz w:val="28"/>
          <w:szCs w:val="28"/>
          <w:shd w:val="clear" w:color="auto" w:fill="FFFFFF"/>
        </w:rPr>
        <w:t>российских</w:t>
      </w:r>
      <w:proofErr w:type="gram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наукоградов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>, относящихся к сфере биологии и биотехнологии. Пущинский научный центр РАН был основан в 1960-х и на сегодняшний момент является крупнейшим центром биологических исследований.</w:t>
      </w:r>
      <w:r w:rsidRPr="00D65153">
        <w:rPr>
          <w:color w:val="000000" w:themeColor="text1"/>
          <w:sz w:val="28"/>
          <w:szCs w:val="28"/>
          <w:shd w:val="clear" w:color="auto" w:fill="FFFFFF"/>
        </w:rPr>
        <w:t>[37]</w:t>
      </w:r>
    </w:p>
    <w:p w:rsidR="008B0B87" w:rsidRPr="00BF1E7D" w:rsidRDefault="008B0B87" w:rsidP="008B0B8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Таким образом, каждый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отличается своей уникальностью. Совокупность таких городов одного региона представляет общую картину его специализации. Например, Сибирь – центр атомного проекта, а Урал – одна из крупнейших промышленных локаций страны. Около 30%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наукоградов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являются городами с населением менее 50 тысяч человек.</w:t>
      </w:r>
    </w:p>
    <w:p w:rsidR="008B0B87" w:rsidRPr="00BF1E7D" w:rsidRDefault="008B0B87" w:rsidP="008B0B87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Возможности для развития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наукоградов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основывается на двух основных направлениях: 1) сохранение научных и научно-производственных функций муниципальных образований с градообразующими научно-производственными комплексами; 2) диверсификация экономики таких городов, при этом новые формы научной деятельности должны основывать на уже имеющейся специализации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наукограда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B0B87" w:rsidRPr="00BF1E7D" w:rsidRDefault="008B0B87" w:rsidP="008B0B87">
      <w:pPr>
        <w:spacing w:line="360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Необходимость сохранения и дальнейшей модернизации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наукоградов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не подлежит сомнению, так как они в высокой степени обеспечивают реализацию научного и научно-производственного потенциала Российской Федерации, создавая благоприятную среду для научной и интеллектуальной деятельности.</w:t>
      </w:r>
    </w:p>
    <w:p w:rsidR="008B0B87" w:rsidRPr="00BF1E7D" w:rsidRDefault="008B0B87" w:rsidP="008B0B87">
      <w:pPr>
        <w:spacing w:line="360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1E7D">
        <w:rPr>
          <w:color w:val="000000" w:themeColor="text1"/>
          <w:sz w:val="28"/>
          <w:szCs w:val="28"/>
          <w:shd w:val="clear" w:color="auto" w:fill="FFFFFF"/>
        </w:rPr>
        <w:t>Следует сразу отметить, что понятия «закрытое административно-территориальное образование» и «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» не являются синонимичными. Во-первых, среди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наукоградов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присутствуют города, которые всегда были «открытыми»; во-вторых, к закрытым территориальным образованиям относятся также военные городки Министерства Обороны Российской Федерации, не относящиеся к категории </w:t>
      </w:r>
      <w:proofErr w:type="spellStart"/>
      <w:r w:rsidRPr="00BF1E7D">
        <w:rPr>
          <w:color w:val="000000" w:themeColor="text1"/>
          <w:sz w:val="28"/>
          <w:szCs w:val="28"/>
          <w:shd w:val="clear" w:color="auto" w:fill="FFFFFF"/>
        </w:rPr>
        <w:t>наукоградов</w:t>
      </w:r>
      <w:proofErr w:type="spellEnd"/>
      <w:r w:rsidRPr="00BF1E7D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B0B87" w:rsidRPr="00BF1E7D" w:rsidRDefault="008B0B87" w:rsidP="008B0B87">
      <w:pPr>
        <w:tabs>
          <w:tab w:val="left" w:pos="5103"/>
        </w:tabs>
        <w:spacing w:line="360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Закон РФ от 14.07.1992 г. № 3297-1 «О закрытом административно-территориальном образовании» установил новый правовой статус ЗАТО. Под действие данного законодательного акта попадали 47 поселений с общей численностью населения более 1,5 </w:t>
      </w:r>
      <w:proofErr w:type="spellStart"/>
      <w:proofErr w:type="gramStart"/>
      <w:r w:rsidRPr="00BF1E7D">
        <w:rPr>
          <w:color w:val="000000" w:themeColor="text1"/>
          <w:sz w:val="28"/>
          <w:szCs w:val="28"/>
          <w:shd w:val="clear" w:color="auto" w:fill="FFFFFF"/>
        </w:rPr>
        <w:t>млн</w:t>
      </w:r>
      <w:proofErr w:type="spellEnd"/>
      <w:proofErr w:type="gramEnd"/>
      <w:r w:rsidRPr="00BF1E7D">
        <w:rPr>
          <w:color w:val="000000" w:themeColor="text1"/>
          <w:sz w:val="28"/>
          <w:szCs w:val="28"/>
          <w:shd w:val="clear" w:color="auto" w:fill="FFFFFF"/>
        </w:rPr>
        <w:t xml:space="preserve"> человек. В 1994 году были даны официальные названия 19 городам и 18 поселкам, а также стали доступны статистические данные об их численности населения.</w:t>
      </w:r>
    </w:p>
    <w:p w:rsidR="008B0B87" w:rsidRPr="00BF1E7D" w:rsidRDefault="008B0B87" w:rsidP="008B0B87">
      <w:pPr>
        <w:pStyle w:val="a3"/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Постановлению Правительства РФ от 05.07.2001 </w:t>
      </w:r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508 «Об утверждении перечня закрытых административно-территориальных образований и расположенных на их территориях населенных пунктов» в настоящий момент к «закрытым» относятся 44 города и поселка (33 находятся в ведении Министерства обороны, 10 - Федерального агентства по атомной энергии, и 1 – Федерального космического агентства). </w:t>
      </w:r>
    </w:p>
    <w:p w:rsidR="008B0B87" w:rsidRPr="00BF1E7D" w:rsidRDefault="008B0B87" w:rsidP="008B0B87">
      <w:pPr>
        <w:pStyle w:val="a3"/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настоящий момент 16 закрытых городов являются малыми. Это г. Лесной в Свердловской области, г. </w:t>
      </w:r>
      <w:proofErr w:type="spell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Снежинск</w:t>
      </w:r>
      <w:proofErr w:type="spell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г. </w:t>
      </w:r>
      <w:proofErr w:type="gram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Трехгорный</w:t>
      </w:r>
      <w:proofErr w:type="gram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Челябинской области (в ведении </w:t>
      </w:r>
      <w:proofErr w:type="spell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Росатома</w:t>
      </w:r>
      <w:proofErr w:type="spell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); </w:t>
      </w:r>
      <w:proofErr w:type="gram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Александровск, г. </w:t>
      </w:r>
      <w:proofErr w:type="spell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Заозерск</w:t>
      </w:r>
      <w:proofErr w:type="spell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г. Островной и г. Североморск в Мурманской области, г. Большой Камень в Приморском Крае, г. </w:t>
      </w:r>
      <w:proofErr w:type="spell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Вилючинск</w:t>
      </w:r>
      <w:proofErr w:type="spell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Камчатском Крае, г. Знаменск в Астраханском крае, г. Краснознаменск в Московской области, г. Межгорье в Республике Башкортостан, г. Мирный в Архангельской области, г. Радужный во Владимирской области, г. Фокино в Приморском крае, г. Шиханы в Саратовской области (в ведении</w:t>
      </w:r>
      <w:proofErr w:type="gramEnd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F1E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Министерства обороны).</w:t>
      </w:r>
      <w:proofErr w:type="gramEnd"/>
    </w:p>
    <w:p w:rsidR="00B35EB4" w:rsidRDefault="00B35EB4"/>
    <w:p w:rsidR="008B0B87" w:rsidRDefault="008B0B87"/>
    <w:p w:rsidR="008B0B87" w:rsidRDefault="008B0B87"/>
    <w:p w:rsidR="008B0B87" w:rsidRDefault="008B0B87"/>
    <w:p w:rsidR="008B0B87" w:rsidRDefault="008B0B87"/>
    <w:p w:rsidR="008B0B87" w:rsidRDefault="008B0B87"/>
    <w:p w:rsidR="008B0B87" w:rsidRDefault="008B0B87"/>
    <w:p w:rsidR="008B0B87" w:rsidRDefault="008B0B87"/>
    <w:p w:rsidR="008B0B87" w:rsidRDefault="008B0B87"/>
    <w:p w:rsidR="008B0B87" w:rsidRDefault="008B0B87"/>
    <w:p w:rsidR="008B0B87" w:rsidRDefault="008B0B87"/>
    <w:p w:rsidR="008B0B87" w:rsidRDefault="008B0B87"/>
    <w:p w:rsidR="008B0B87" w:rsidRDefault="008B0B87"/>
    <w:p w:rsidR="008B0B87" w:rsidRDefault="008B0B87"/>
    <w:p w:rsidR="008B0B87" w:rsidRDefault="008B0B87"/>
    <w:p w:rsidR="008B0B87" w:rsidRDefault="008B0B87"/>
    <w:p w:rsidR="008B0B87" w:rsidRDefault="008B0B87" w:rsidP="008B0B87">
      <w:pPr>
        <w:jc w:val="center"/>
        <w:rPr>
          <w:sz w:val="28"/>
        </w:rPr>
      </w:pPr>
      <w:r w:rsidRPr="008B0B87">
        <w:rPr>
          <w:sz w:val="28"/>
        </w:rPr>
        <w:t>Список литературы</w:t>
      </w:r>
    </w:p>
    <w:p w:rsidR="008B0B87" w:rsidRDefault="008B0B87" w:rsidP="008B0B87">
      <w:pPr>
        <w:jc w:val="center"/>
        <w:rPr>
          <w:sz w:val="28"/>
        </w:rPr>
      </w:pPr>
    </w:p>
    <w:p w:rsidR="00576B56" w:rsidRPr="004D7256" w:rsidRDefault="00576B56" w:rsidP="00576B56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D7256">
        <w:rPr>
          <w:color w:val="000000" w:themeColor="text1"/>
          <w:sz w:val="28"/>
          <w:szCs w:val="28"/>
        </w:rPr>
        <w:t>Горкин</w:t>
      </w:r>
      <w:proofErr w:type="spellEnd"/>
      <w:r w:rsidRPr="004D7256">
        <w:rPr>
          <w:color w:val="000000" w:themeColor="text1"/>
          <w:sz w:val="28"/>
          <w:szCs w:val="28"/>
        </w:rPr>
        <w:t xml:space="preserve"> А.П. География постиндустриальной промышленности (методология и результаты исследований, 1973-2022 годы) Смоленск: Ойкумена, 2022. - 348 </w:t>
      </w:r>
      <w:proofErr w:type="gramStart"/>
      <w:r w:rsidRPr="004D7256">
        <w:rPr>
          <w:color w:val="000000" w:themeColor="text1"/>
          <w:sz w:val="28"/>
          <w:szCs w:val="28"/>
        </w:rPr>
        <w:t>с</w:t>
      </w:r>
      <w:proofErr w:type="gramEnd"/>
      <w:r w:rsidRPr="004D7256">
        <w:rPr>
          <w:color w:val="000000" w:themeColor="text1"/>
          <w:sz w:val="28"/>
          <w:szCs w:val="28"/>
        </w:rPr>
        <w:t>.</w:t>
      </w:r>
    </w:p>
    <w:p w:rsidR="00576B56" w:rsidRPr="004D7256" w:rsidRDefault="00576B56" w:rsidP="00576B56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7256">
        <w:rPr>
          <w:sz w:val="28"/>
          <w:szCs w:val="28"/>
        </w:rPr>
        <w:t>Еремин, С. Г. Управление государственными и муниципальными закупками</w:t>
      </w:r>
      <w:proofErr w:type="gramStart"/>
      <w:r w:rsidRPr="004D7256">
        <w:rPr>
          <w:sz w:val="28"/>
          <w:szCs w:val="28"/>
        </w:rPr>
        <w:t xml:space="preserve"> :</w:t>
      </w:r>
      <w:proofErr w:type="gramEnd"/>
      <w:r w:rsidRPr="004D7256">
        <w:rPr>
          <w:sz w:val="28"/>
          <w:szCs w:val="28"/>
        </w:rPr>
        <w:t xml:space="preserve"> учебник и практикум для вузов / С. Г. Еремин, А. И. Галкин ; под редакцией С. Е. Прокофьева. – Москва</w:t>
      </w:r>
      <w:proofErr w:type="gramStart"/>
      <w:r w:rsidRPr="004D7256">
        <w:rPr>
          <w:sz w:val="28"/>
          <w:szCs w:val="28"/>
        </w:rPr>
        <w:t xml:space="preserve"> :</w:t>
      </w:r>
      <w:proofErr w:type="gramEnd"/>
      <w:r w:rsidRPr="004D7256">
        <w:rPr>
          <w:sz w:val="28"/>
          <w:szCs w:val="28"/>
        </w:rPr>
        <w:t xml:space="preserve"> Издательство </w:t>
      </w:r>
      <w:proofErr w:type="spellStart"/>
      <w:r w:rsidRPr="004D7256">
        <w:rPr>
          <w:sz w:val="28"/>
          <w:szCs w:val="28"/>
        </w:rPr>
        <w:t>Юрайт</w:t>
      </w:r>
      <w:proofErr w:type="spellEnd"/>
      <w:r w:rsidRPr="004D7256">
        <w:rPr>
          <w:sz w:val="28"/>
          <w:szCs w:val="28"/>
        </w:rPr>
        <w:t xml:space="preserve">, 2024. – 405 </w:t>
      </w:r>
      <w:proofErr w:type="gramStart"/>
      <w:r w:rsidRPr="004D7256">
        <w:rPr>
          <w:sz w:val="28"/>
          <w:szCs w:val="28"/>
        </w:rPr>
        <w:t>с</w:t>
      </w:r>
      <w:proofErr w:type="gramEnd"/>
      <w:r w:rsidRPr="004D7256">
        <w:rPr>
          <w:sz w:val="28"/>
          <w:szCs w:val="28"/>
        </w:rPr>
        <w:t>.</w:t>
      </w:r>
    </w:p>
    <w:p w:rsidR="00576B56" w:rsidRPr="004D7256" w:rsidRDefault="00576B56" w:rsidP="00576B56">
      <w:pPr>
        <w:pStyle w:val="aa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D7256">
        <w:rPr>
          <w:color w:val="000000" w:themeColor="text1"/>
          <w:sz w:val="28"/>
          <w:szCs w:val="28"/>
        </w:rPr>
        <w:t xml:space="preserve">Зайцева Ю.С. Городской барометр: система мониторинга социально-экономического развития муниципальных образований. - М.: Фонд "Институт экономики города", 2017. - 106 </w:t>
      </w:r>
      <w:proofErr w:type="gramStart"/>
      <w:r w:rsidRPr="004D7256">
        <w:rPr>
          <w:color w:val="000000" w:themeColor="text1"/>
          <w:sz w:val="28"/>
          <w:szCs w:val="28"/>
        </w:rPr>
        <w:t>с</w:t>
      </w:r>
      <w:proofErr w:type="gramEnd"/>
      <w:r w:rsidRPr="004D7256">
        <w:rPr>
          <w:color w:val="000000" w:themeColor="text1"/>
          <w:sz w:val="28"/>
          <w:szCs w:val="28"/>
        </w:rPr>
        <w:t>.</w:t>
      </w:r>
    </w:p>
    <w:p w:rsidR="008B0B87" w:rsidRPr="008B0B87" w:rsidRDefault="008B0B87" w:rsidP="008B0B87">
      <w:pPr>
        <w:jc w:val="center"/>
        <w:rPr>
          <w:sz w:val="28"/>
        </w:rPr>
      </w:pPr>
    </w:p>
    <w:sectPr w:rsidR="008B0B87" w:rsidRPr="008B0B87" w:rsidSect="00B3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03E" w:rsidRDefault="0044703E" w:rsidP="008B0B87">
      <w:r>
        <w:separator/>
      </w:r>
    </w:p>
  </w:endnote>
  <w:endnote w:type="continuationSeparator" w:id="0">
    <w:p w:rsidR="0044703E" w:rsidRDefault="0044703E" w:rsidP="008B0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03E" w:rsidRDefault="0044703E" w:rsidP="008B0B87">
      <w:r>
        <w:separator/>
      </w:r>
    </w:p>
  </w:footnote>
  <w:footnote w:type="continuationSeparator" w:id="0">
    <w:p w:rsidR="0044703E" w:rsidRDefault="0044703E" w:rsidP="008B0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7AC"/>
    <w:multiLevelType w:val="hybridMultilevel"/>
    <w:tmpl w:val="9F1EB5E4"/>
    <w:lvl w:ilvl="0" w:tplc="201089AA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67E40DA"/>
    <w:multiLevelType w:val="hybridMultilevel"/>
    <w:tmpl w:val="3C20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76A4A"/>
    <w:multiLevelType w:val="hybridMultilevel"/>
    <w:tmpl w:val="CE761CE8"/>
    <w:lvl w:ilvl="0" w:tplc="437C66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FC77777"/>
    <w:multiLevelType w:val="hybridMultilevel"/>
    <w:tmpl w:val="EA8CA46C"/>
    <w:lvl w:ilvl="0" w:tplc="F3C0B08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0B87"/>
    <w:rsid w:val="0044703E"/>
    <w:rsid w:val="00576B56"/>
    <w:rsid w:val="008B0B87"/>
    <w:rsid w:val="00B3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8B0B87"/>
    <w:pPr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8B0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0B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B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B8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B0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0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0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76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480324074074102"/>
          <c:y val="3.612110986126741E-2"/>
          <c:w val="0.65196759259260062"/>
          <c:h val="0.58839676290463105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города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1926</c:v>
                </c:pt>
                <c:pt idx="1">
                  <c:v>1939</c:v>
                </c:pt>
                <c:pt idx="2">
                  <c:v>1959</c:v>
                </c:pt>
                <c:pt idx="3">
                  <c:v>1970</c:v>
                </c:pt>
                <c:pt idx="4">
                  <c:v>1979</c:v>
                </c:pt>
                <c:pt idx="5">
                  <c:v>1989</c:v>
                </c:pt>
                <c:pt idx="6">
                  <c:v>2012</c:v>
                </c:pt>
                <c:pt idx="7">
                  <c:v>2023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461</c:v>
                </c:pt>
                <c:pt idx="1">
                  <c:v>574</c:v>
                </c:pt>
                <c:pt idx="2">
                  <c:v>877</c:v>
                </c:pt>
                <c:pt idx="3">
                  <c:v>969</c:v>
                </c:pt>
                <c:pt idx="4">
                  <c:v>999</c:v>
                </c:pt>
                <c:pt idx="5">
                  <c:v>1037</c:v>
                </c:pt>
                <c:pt idx="6">
                  <c:v>1098</c:v>
                </c:pt>
                <c:pt idx="7">
                  <c:v>1100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Города с нас. менее 50 тыс. чел.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1926</c:v>
                </c:pt>
                <c:pt idx="1">
                  <c:v>1939</c:v>
                </c:pt>
                <c:pt idx="2">
                  <c:v>1959</c:v>
                </c:pt>
                <c:pt idx="3">
                  <c:v>1970</c:v>
                </c:pt>
                <c:pt idx="4">
                  <c:v>1979</c:v>
                </c:pt>
                <c:pt idx="5">
                  <c:v>1989</c:v>
                </c:pt>
                <c:pt idx="6">
                  <c:v>2012</c:v>
                </c:pt>
                <c:pt idx="7">
                  <c:v>2023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404</c:v>
                </c:pt>
                <c:pt idx="1">
                  <c:v>464</c:v>
                </c:pt>
                <c:pt idx="2">
                  <c:v>688</c:v>
                </c:pt>
                <c:pt idx="3">
                  <c:v>731</c:v>
                </c:pt>
                <c:pt idx="4">
                  <c:v>709</c:v>
                </c:pt>
                <c:pt idx="5">
                  <c:v>709</c:v>
                </c:pt>
                <c:pt idx="6">
                  <c:v>768</c:v>
                </c:pt>
                <c:pt idx="7">
                  <c:v>781</c:v>
                </c:pt>
              </c:numCache>
            </c:numRef>
          </c:val>
        </c:ser>
        <c:marker val="1"/>
        <c:axId val="73986432"/>
        <c:axId val="73987968"/>
      </c:lineChart>
      <c:dateAx>
        <c:axId val="73986432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73987968"/>
        <c:crosses val="autoZero"/>
        <c:lblOffset val="100"/>
        <c:baseTimeUnit val="days"/>
      </c:dateAx>
      <c:valAx>
        <c:axId val="739879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739864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4803240740740748"/>
          <c:y val="3.6121109861267341E-2"/>
          <c:w val="0.65196759259260062"/>
          <c:h val="0.5883967629046287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города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1926</c:v>
                </c:pt>
                <c:pt idx="1">
                  <c:v>1939</c:v>
                </c:pt>
                <c:pt idx="2">
                  <c:v>1959</c:v>
                </c:pt>
                <c:pt idx="3">
                  <c:v>1970</c:v>
                </c:pt>
                <c:pt idx="4">
                  <c:v>1979</c:v>
                </c:pt>
                <c:pt idx="5">
                  <c:v>1989</c:v>
                </c:pt>
                <c:pt idx="6">
                  <c:v>2012</c:v>
                </c:pt>
                <c:pt idx="7">
                  <c:v>2023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13928</c:v>
                </c:pt>
                <c:pt idx="1">
                  <c:v>31012</c:v>
                </c:pt>
                <c:pt idx="2">
                  <c:v>52164</c:v>
                </c:pt>
                <c:pt idx="3">
                  <c:v>69998</c:v>
                </c:pt>
                <c:pt idx="4">
                  <c:v>82948</c:v>
                </c:pt>
                <c:pt idx="5">
                  <c:v>94450</c:v>
                </c:pt>
                <c:pt idx="6">
                  <c:v>106429</c:v>
                </c:pt>
                <c:pt idx="7">
                  <c:v>105314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Города с нас. менее 50 тыс. чел.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1926</c:v>
                </c:pt>
                <c:pt idx="1">
                  <c:v>1939</c:v>
                </c:pt>
                <c:pt idx="2">
                  <c:v>1959</c:v>
                </c:pt>
                <c:pt idx="3">
                  <c:v>1970</c:v>
                </c:pt>
                <c:pt idx="4">
                  <c:v>1979</c:v>
                </c:pt>
                <c:pt idx="5">
                  <c:v>1989</c:v>
                </c:pt>
                <c:pt idx="6">
                  <c:v>2012</c:v>
                </c:pt>
                <c:pt idx="7">
                  <c:v>2023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4914</c:v>
                </c:pt>
                <c:pt idx="1">
                  <c:v>8547</c:v>
                </c:pt>
                <c:pt idx="2">
                  <c:v>13759</c:v>
                </c:pt>
                <c:pt idx="3">
                  <c:v>15543</c:v>
                </c:pt>
                <c:pt idx="4">
                  <c:v>15267</c:v>
                </c:pt>
                <c:pt idx="5">
                  <c:v>15920</c:v>
                </c:pt>
                <c:pt idx="6">
                  <c:v>16623</c:v>
                </c:pt>
                <c:pt idx="7">
                  <c:v>16444</c:v>
                </c:pt>
              </c:numCache>
            </c:numRef>
          </c:val>
        </c:ser>
        <c:marker val="1"/>
        <c:axId val="139727232"/>
        <c:axId val="139728768"/>
      </c:lineChart>
      <c:dateAx>
        <c:axId val="139727232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39728768"/>
        <c:crosses val="autoZero"/>
        <c:lblOffset val="100"/>
        <c:baseTimeUnit val="days"/>
      </c:dateAx>
      <c:valAx>
        <c:axId val="1397287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97272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3564</Words>
  <Characters>20319</Characters>
  <Application>Microsoft Office Word</Application>
  <DocSecurity>0</DocSecurity>
  <Lines>169</Lines>
  <Paragraphs>47</Paragraphs>
  <ScaleCrop>false</ScaleCrop>
  <Company/>
  <LinksUpToDate>false</LinksUpToDate>
  <CharactersWithSpaces>23836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2025-01-13T06:44:00Z</dcterms:created>
  <dcterms:modified xsi:type="dcterms:W3CDTF">2025-01-13T06:46:00Z</dcterms:modified>
</cp:coreProperties>
</file>