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3A" w:rsidRDefault="00CC5F3A" w:rsidP="00CC5F3A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РАЗВИТИЯ И ФОРМИРОВАНИЯ САМОЭФФЕКТИВНОСТИ ШКОЛЬНИКОВ С ПОМОЩЬЮ ТАНЦА</w:t>
      </w:r>
    </w:p>
    <w:p w:rsidR="007A69C5" w:rsidRPr="00CC5F3A" w:rsidRDefault="007A69C5" w:rsidP="00CC5F3A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5F3A" w:rsidRDefault="007A69C5" w:rsidP="007A69C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Дарья Сергеевна</w:t>
      </w:r>
    </w:p>
    <w:p w:rsidR="007A69C5" w:rsidRDefault="007A69C5" w:rsidP="007A69C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Дворец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творчества детей и молодёжи</w:t>
      </w:r>
    </w:p>
    <w:p w:rsidR="007A69C5" w:rsidRDefault="007A69C5" w:rsidP="007A69C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Комсомольск-на-Амуре</w:t>
      </w:r>
    </w:p>
    <w:p w:rsidR="007A69C5" w:rsidRDefault="007A69C5" w:rsidP="007A69C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дополнительного образования</w:t>
      </w:r>
    </w:p>
    <w:p w:rsidR="004E7376" w:rsidRPr="00CC5F3A" w:rsidRDefault="004E7376" w:rsidP="004E737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C5F3A" w:rsidRPr="00CC5F3A" w:rsidRDefault="00CC5F3A" w:rsidP="00CC5F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Истоки танцевального искусства заложены в древние времена. Доказательства этих роковых картин с изображением танцевальных фигур, созданных предположительно в неолитический период (8-5 тыс. лет до нашей эры). До сих пор нет единого мнения о рождении танца, песни или музыки, одно нельзя отрицать - возникновение танца связано с осознанием ритма как сопровождения определенной последовательности движений тела. Эти </w:t>
      </w:r>
      <w:proofErr w:type="gramStart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ритмические движения</w:t>
      </w:r>
      <w:proofErr w:type="gramEnd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могли иметь различное содержание, что впоследствии привело к созданию многих теорий о происхождении танца (его предшественники называли игру, магические или религиозные ритуалы, эротические инстинкты). Любая из теорий имеет право на существование и не может считаться единственной истиной. Их тщательное изучение подтверждает вывод - во все времена танец был важен в общественной жизни человека, в его гармоничном, эстетическом и физическом развитии [1].</w:t>
      </w:r>
    </w:p>
    <w:p w:rsidR="00CC5F3A" w:rsidRPr="00CC5F3A" w:rsidRDefault="00CC5F3A" w:rsidP="00CC5F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на первом этапе своего существования танец пытался отразить реальность в публичной форме, выбрать наиболее характерные черты, дать им определенный имидж. Первой музыкой для танцев были звуки барабанов, шум переплетенных браслетов и амулетов, первой мрачной была краска для лица, имитирующая кровь, и первый опыт художественного выражения - имитация различных животных. Все это случилось с исследователями в начале XX-</w:t>
      </w:r>
      <w:proofErr w:type="spellStart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века, индийцами Бразилии и некоторыми индийскими племенами Северной Америки [2]. В дополнение к подражательной, танцевальной и </w:t>
      </w:r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образовательной функции. Американский исследователь захватил пример исполнения воинствующего танца 33 рядов по 33 человека в каждом. Эта огромная масса танцев, действуя удивительно гладко, отражала силу и силу армии.</w:t>
      </w:r>
    </w:p>
    <w:p w:rsidR="00CC5F3A" w:rsidRPr="00CC5F3A" w:rsidRDefault="00CC5F3A" w:rsidP="00CC5F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танцы древности были далеки от того, что теперь называется этим словом. У них было совсем другое значение. С различными движениями и жестами человек передавал свои впечатления от окружающего его мира, придавая им настроение, свое душевное состояние. Приветствия, пение, пантомима, игра была связана с танцем. Сам танец всегда, во все времена, был тесно связан с жизнью людей. Поэтому каждый танец соответствует характеру, духу людей, от которых он родился. С изменением социальной системы, условиями жизни, изменением характера и темы искусства, танцами. Его корни были глубоко укоренены в народном искусстве.</w:t>
      </w:r>
    </w:p>
    <w:p w:rsidR="00CC5F3A" w:rsidRPr="00CC5F3A" w:rsidRDefault="00CC5F3A" w:rsidP="00CC5F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Танцы были очень распространены среди народов древнего мира. Танцы стремились обеспечить, чтобы каждое движение, жест, выражение лица выражали любую мысль, действие, действие. Выразительные танцы имели большое значение в повседневной жизни и в общественной жизни. Очень часто начинались торжества и сопровождались танцами [3]. Однако в современной трактовке танец сегодня имеет не только культурно-эстетическое значение, а также психотерапевтическое и психолого-педагогическое. Многие школьники посещают занятия по хореографии в системе дополнительного образования. Танец приобретает социальную значимость в развитии и воспитании подрастающих поколений.</w:t>
      </w:r>
    </w:p>
    <w:p w:rsidR="00CC5F3A" w:rsidRPr="00CC5F3A" w:rsidRDefault="00CC5F3A" w:rsidP="00CC5F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нашем исследовании мы вышли на обозначение такой узкой проблематики как влияние танца на развитие </w:t>
      </w:r>
      <w:proofErr w:type="spellStart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самоэффективности</w:t>
      </w:r>
      <w:proofErr w:type="spellEnd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 школьников. </w:t>
      </w:r>
      <w:proofErr w:type="spellStart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Самоэффективность</w:t>
      </w:r>
      <w:proofErr w:type="spellEnd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своего рода убеждение в эффективности их усилий, ожидании успеха от их реализации. Является одним из основных понятий в теории А. </w:t>
      </w:r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Бандуры. Он считал, что </w:t>
      </w:r>
      <w:proofErr w:type="gramStart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коллективная</w:t>
      </w:r>
      <w:proofErr w:type="gramEnd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самоэффективность</w:t>
      </w:r>
      <w:proofErr w:type="spellEnd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формируется из индивидуальной (личной) </w:t>
      </w:r>
      <w:proofErr w:type="spellStart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самоэффективности</w:t>
      </w:r>
      <w:proofErr w:type="spellEnd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может существовать в совершенно разных сферах деятельности индивидуумов.</w:t>
      </w:r>
    </w:p>
    <w:p w:rsidR="00CC5F3A" w:rsidRPr="00CC5F3A" w:rsidRDefault="00CC5F3A" w:rsidP="00CC5F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Самоэффективность</w:t>
      </w:r>
      <w:proofErr w:type="spellEnd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 </w:t>
      </w:r>
      <w:proofErr w:type="gramStart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обусловлена</w:t>
      </w:r>
      <w:proofErr w:type="gramEnd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субъективным отношением индивида к деятельности, осуществляемой посредством обращения индивидуума к внутренним личным резервам, возможностям развития, выбору определенных средств, действиям и построению конкретного плана мероприятия [6].</w:t>
      </w:r>
    </w:p>
    <w:p w:rsidR="00CC5F3A" w:rsidRPr="00CC5F3A" w:rsidRDefault="00CC5F3A" w:rsidP="00CC5F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Танец представляет собой некое социальное моделирование, и фактически является методом, который способствует развитию и укреплению </w:t>
      </w:r>
      <w:proofErr w:type="spellStart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самоэффективности</w:t>
      </w:r>
      <w:proofErr w:type="spellEnd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Социальные модели служат источником мотивации и разных знаний. Например, наблюдение за людьми, которые похожи на себя, которые упорствуют в реализации своих планов, целей и достижении успеха, в конечном </w:t>
      </w:r>
      <w:proofErr w:type="gramStart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счете</w:t>
      </w:r>
      <w:proofErr w:type="gramEnd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увеличивает веру наблюдателя в личные способности. </w:t>
      </w:r>
      <w:proofErr w:type="spellStart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Самоэффективность</w:t>
      </w:r>
      <w:proofErr w:type="spellEnd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психологии - это чувство субъективной эффективности и компетентности. Однако его следует отличать от таких понятий, как личное достоинство и чувство собственного достоинства.</w:t>
      </w:r>
    </w:p>
    <w:p w:rsidR="00CC5F3A" w:rsidRPr="00CC5F3A" w:rsidRDefault="00CC5F3A" w:rsidP="00CC5F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Идея танца как общения была разработана танцором Мэри </w:t>
      </w:r>
      <w:proofErr w:type="spellStart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Вигман</w:t>
      </w:r>
      <w:proofErr w:type="spellEnd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«Танец - это живой язык, на котором говорит человек ... Танец требует прямого общения, потому что он носитель и посредник - сам человек, но инструмент выражения - человеческого тела » (</w:t>
      </w:r>
      <w:proofErr w:type="spellStart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Rudestam</w:t>
      </w:r>
      <w:proofErr w:type="spellEnd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K, 1990, стр. 245). Человек, который осознает свою собственную эффективность, может приложить гораздо больше усилий для преодоления препятствий, решения проблем и проблем, чем тот, кто постоянно сомневается в его или ее потенциале [7].</w:t>
      </w:r>
    </w:p>
    <w:p w:rsidR="00CC5F3A" w:rsidRPr="00CC5F3A" w:rsidRDefault="00CC5F3A" w:rsidP="00CC5F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доверия к их поведенческим действиям и способностям выражается в их собственной низкой эффективности. </w:t>
      </w:r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Высокая </w:t>
      </w:r>
      <w:proofErr w:type="spellStart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самоэффективность</w:t>
      </w:r>
      <w:proofErr w:type="spellEnd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влияет на человека таким образом, что периодически возникающие проблемы или препятствия воспринимаются им не как конец пути, а как своего рода вызов, дающий возможность проверить свои способности, подтвердить их и реализовать. Эта оценка ситуации приводит к мобилизации всех внутренних человеческих ресурсов.</w:t>
      </w:r>
    </w:p>
    <w:p w:rsidR="00CC5F3A" w:rsidRPr="00CC5F3A" w:rsidRDefault="00CC5F3A" w:rsidP="00CC5F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Самоэффективность</w:t>
      </w:r>
      <w:proofErr w:type="spellEnd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самая важная ментальная схема, которая влияет на поведение испытуемых и его результаты посредством когнитивных, мотивационных, избирательных, аффективных, физиологических процессов. Однако следует понимать, что его собственная эффективность не связана с возможностью выполнять основные функции двигателя. К таким функциям относятся ходьба, схватывание и т. </w:t>
      </w:r>
      <w:proofErr w:type="gramStart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proofErr w:type="gramEnd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вам нужно понять, что любая разработанная стратегия или план должны быть в пределах физического потенциала субъекта [8]. </w:t>
      </w:r>
      <w:proofErr w:type="gramStart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Высокая</w:t>
      </w:r>
      <w:proofErr w:type="gramEnd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самоэффективность</w:t>
      </w:r>
      <w:proofErr w:type="spellEnd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способна изменить мышление отдельных людей и способствует увеличению суждений, самораспаковывающегося характера. Это также способствует возникновению стабильной мотивации к любой деятельности и определяет силу такой мотивации. Это чаще выражается в тех случаях, когда субъект сталкивается с препятствиями на пути реализации стратегии. В эмоциональной области высокая внутренняя эффективность помогает снизить уровень тревоги, проявление негативных эмоций, возникающих при неудачах.</w:t>
      </w:r>
    </w:p>
    <w:p w:rsidR="00CC5F3A" w:rsidRPr="00CC5F3A" w:rsidRDefault="00CC5F3A" w:rsidP="00CC5F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 источником роста </w:t>
      </w:r>
      <w:proofErr w:type="spellStart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самоэффективности</w:t>
      </w:r>
      <w:proofErr w:type="spellEnd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опыт успеха. Сделать все необходимые действия, сделать возможным и невозможным и получить желаемый результат - значит чувствовать себя успешным и уверенным. Только в процессах активной деятельности, которые направлены на достижение результатов и решение задач, продиктованных ситуацией, возникают и приобретают стабильность веры. С помощью развития когнитивных навыков для </w:t>
      </w:r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построения своего поведения приобретение опыта обеспечивает развитие </w:t>
      </w:r>
      <w:proofErr w:type="spellStart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самоэффективности</w:t>
      </w:r>
      <w:proofErr w:type="spellEnd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личности. Высокая эффективность в сочетании с ожиданием успеха всегда приводит к положительным результатам и, следовательно, к повышению собственной эффективности [9].</w:t>
      </w:r>
    </w:p>
    <w:p w:rsidR="00CC5F3A" w:rsidRPr="00CC5F3A" w:rsidRDefault="00CC5F3A" w:rsidP="00CC5F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диагностики </w:t>
      </w:r>
      <w:proofErr w:type="spellStart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самоэффективности</w:t>
      </w:r>
      <w:proofErr w:type="spellEnd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 может быть использована методика, предложенная </w:t>
      </w:r>
      <w:proofErr w:type="spellStart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Медуксом</w:t>
      </w:r>
      <w:proofErr w:type="spellEnd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Шеером</w:t>
      </w:r>
      <w:proofErr w:type="spellEnd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Этот метод является одним из способов, с помощью которых можно исследовать чувство собственного достоинства личности и личности человека. Он состоит в оценке собственного потенциала человека в области предметной деятельности и коммуникации, которую он действительно может использовать. Методика представлена в виде утверждений об испытаниях в количестве 23 штук. Каждое заявление, которое субъект должен оценивать в соответствии со степенью согласия или несогласия по шкале одиннадцати. Тест заложил идею </w:t>
      </w:r>
      <w:proofErr w:type="spellStart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самоэффективности</w:t>
      </w:r>
      <w:proofErr w:type="spellEnd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5F3A" w:rsidRPr="00CC5F3A" w:rsidRDefault="00CC5F3A" w:rsidP="00CC5F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этой техники, помимо получения информации об индивидуальной самооценке и информации об уровне самореализации, вы можете создать определенный импульс для личного саморазвития. А. Бандура считает, что </w:t>
      </w:r>
      <w:proofErr w:type="spellStart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самоэффективность</w:t>
      </w:r>
      <w:proofErr w:type="spellEnd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центральной и очень важной </w:t>
      </w:r>
      <w:proofErr w:type="spellStart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детерминантой</w:t>
      </w:r>
      <w:proofErr w:type="spellEnd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человеческого поведения. Это не только непосредственно затрагивает мотивационную сферу человека, но и другие важные детерминанты поведения [4].</w:t>
      </w:r>
    </w:p>
    <w:p w:rsidR="00CC5F3A" w:rsidRPr="00CC5F3A" w:rsidRDefault="00CC5F3A" w:rsidP="00CC5F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наиболее популярных областей исследований является изучение взаимосвязи </w:t>
      </w:r>
      <w:proofErr w:type="spellStart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самоэффективности</w:t>
      </w:r>
      <w:proofErr w:type="spellEnd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эффективности человеческой деятельности [10]. А. </w:t>
      </w:r>
      <w:proofErr w:type="spellStart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Стайкович</w:t>
      </w:r>
      <w:proofErr w:type="spellEnd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Ф. </w:t>
      </w:r>
      <w:proofErr w:type="spellStart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Лутанс</w:t>
      </w:r>
      <w:proofErr w:type="spellEnd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[5] провели </w:t>
      </w:r>
      <w:proofErr w:type="spellStart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метаанализ</w:t>
      </w:r>
      <w:proofErr w:type="spellEnd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исследований по этому вопросу. Авторы выбрали 114 исследований, опубликованных на английском языке с 1977 по 1996 год в различных областях: клинических, образовательных, </w:t>
      </w:r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организационных. Авторы подтвердили существование взаимосвязи </w:t>
      </w:r>
      <w:proofErr w:type="spellStart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самоэффективности</w:t>
      </w:r>
      <w:proofErr w:type="spellEnd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профессиональной деятельности. Согласно исследованию, средний коэффициент корреляции между ними составляет 0,38.</w:t>
      </w:r>
    </w:p>
    <w:p w:rsidR="00CC5F3A" w:rsidRPr="00CC5F3A" w:rsidRDefault="00CC5F3A" w:rsidP="00CC5F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отношение индивида к себе как к успешному человеку - это </w:t>
      </w:r>
      <w:proofErr w:type="spellStart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самоэффективность</w:t>
      </w:r>
      <w:proofErr w:type="spellEnd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proofErr w:type="gramEnd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способствует использованию самоконтроля для достижения стратегии и цели. </w:t>
      </w:r>
      <w:proofErr w:type="spellStart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Самоэффективность</w:t>
      </w:r>
      <w:proofErr w:type="spellEnd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личный контроль напрямую зависят друг от друга. Развивая самоконтроль, люди помогают себе сформировать чувство собственной эффективности. </w:t>
      </w:r>
    </w:p>
    <w:p w:rsidR="00CC5F3A" w:rsidRPr="00CC5F3A" w:rsidRDefault="00CC5F3A" w:rsidP="00CC5F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Школьникам необходимо создавать танцевальную среду. Главная задача танцевально-моторной терапии - найти чувство и осознание собственного «я». В танцевально-моторной терапии идеальной модели тела не существует. Танцевальный терапевт относится к телу как развивающийся процесс. И самое важное различие между танцевально-моторной терапией и различными подходами к работе с телом заключается в том, что здесь сам клиент сам исследует себя (принцип активности клиента), его движения и развивается по-своему, а терапевт следует за ним. Эта терапия больше интересуется тем, как ощущается движение, чем выглядит. Движения связаны с чувством радости ребенка, удовольствием от развития целого ряда действий. Возможность передвижения, практические действия для ребенка - одно из самых предпочтительных удовольствий, а также эффективные средства поддержания его интереса практически к любой профессии.</w:t>
      </w:r>
    </w:p>
    <w:p w:rsidR="00CC5F3A" w:rsidRPr="00CC5F3A" w:rsidRDefault="00CC5F3A" w:rsidP="00CC5F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свою очередь, расширение и развитие эмоциональной сферы, опыт радостных государств приводит к формированию оптимистического мировоззрения, которая является основой концепции здорового образа жизни.</w:t>
      </w:r>
      <w:proofErr w:type="gramEnd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Счастливый человек живет в гармонии с другими и с самим собой. Чувственная основа морали - </w:t>
      </w:r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это любовь и доверие окружающим людям, чувство гармонии, душевное спокойствие, эмоциональный и физический комфорт. Психическое и психическое здоровье ребенка коренится в эмоциональных и физических процессах [11]. Взрослые знают, какое удовольствие дети получают от музыки и моторных упражнений, танцев или просто случайных движений к музыке (от бега и прыжков до смешной имитации танцевальных движений </w:t>
      </w:r>
      <w:proofErr w:type="gramStart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поп-дивы</w:t>
      </w:r>
      <w:proofErr w:type="gramEnd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Радость, которую музыка приносит детям, - это радость свободного звука и моторного выражения различных эмоций.</w:t>
      </w:r>
    </w:p>
    <w:p w:rsidR="00CC5F3A" w:rsidRPr="00CC5F3A" w:rsidRDefault="00CC5F3A" w:rsidP="00CC5F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Огромный терапевтический и развивающий потенциал музыки связан с удовольствием, которое дети получают от физического выражения эмоциональных переживаний. Голос и моторное выражение для музыки можно рассматривать как важнейшее средство развития эмоционального и физического переживания ребенка и его личности в целом. Музыка, слитая с движением, выступает в качестве основы для формирования человека, здорового в физических, умственных и духовных чувствах. Через музыкальный ритм ребенок входит в мир своего тела и чувств. Все чувства ребенка обнажены, очевидны, открыты. Изучая окружающий мир, дети жестоко реагируют на все, что происходит вокруг них. И здесь природа детства вступает в противоречие с нашими взрослыми представлениями о правилах поведения. Мы ненавидим шумных детей, громких плача или смеха. «Ведите себя», «не шумите», «не стучите», «не кричите» - эти и подобные замечания взрослых постоянно сопровождают детские игры. Даже если дети изрыгают нас не лично, это обязательно мешает кому-то из других. С помощью наших криков дети учатся не столько контролировать проявления своих чувств, сколько подавлять их. Последствием эмоциональных зажимов у детей являются неврозы, вспышки агрессии, </w:t>
      </w:r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неадекватность эмоциональных реакций, болезней и в будущем - невозможность строить отношения с другими.</w:t>
      </w:r>
    </w:p>
    <w:p w:rsidR="00CC5F3A" w:rsidRPr="00CC5F3A" w:rsidRDefault="00CC5F3A" w:rsidP="00CC5F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школьник может </w:t>
      </w:r>
      <w:proofErr w:type="spellStart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самовыражаться</w:t>
      </w:r>
      <w:proofErr w:type="spellEnd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танец, так как танец служит средством формирования </w:t>
      </w:r>
      <w:proofErr w:type="spellStart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самоэффективности</w:t>
      </w:r>
      <w:proofErr w:type="spellEnd"/>
      <w:r w:rsidRPr="00CC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 Это своего рода демонстрация, способ показать окружающим, на что способен ребенок.</w:t>
      </w:r>
    </w:p>
    <w:p w:rsidR="00CC5F3A" w:rsidRPr="00CC5F3A" w:rsidRDefault="00CC5F3A" w:rsidP="00CC5F3A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5F3A" w:rsidRPr="00CC5F3A" w:rsidRDefault="00CC5F3A" w:rsidP="00CC5F3A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5F3A">
        <w:rPr>
          <w:rFonts w:ascii="Times New Roman" w:eastAsia="Calibri" w:hAnsi="Times New Roman" w:cs="Times New Roman"/>
          <w:b/>
          <w:sz w:val="28"/>
          <w:szCs w:val="28"/>
        </w:rPr>
        <w:t>Список литературы</w:t>
      </w:r>
    </w:p>
    <w:p w:rsidR="00CC5F3A" w:rsidRPr="00CC5F3A" w:rsidRDefault="00CC5F3A" w:rsidP="00CC5F3A">
      <w:pPr>
        <w:numPr>
          <w:ilvl w:val="0"/>
          <w:numId w:val="1"/>
        </w:numPr>
        <w:spacing w:after="0" w:line="259" w:lineRule="auto"/>
        <w:ind w:left="59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F3A">
        <w:rPr>
          <w:rFonts w:ascii="Times New Roman" w:eastAsia="Calibri" w:hAnsi="Times New Roman" w:cs="Times New Roman"/>
          <w:color w:val="000000"/>
          <w:sz w:val="28"/>
          <w:szCs w:val="28"/>
        </w:rPr>
        <w:t>Абрамова Г.С. Возрастная психология: учеб</w:t>
      </w:r>
      <w:proofErr w:type="gramStart"/>
      <w:r w:rsidRPr="00CC5F3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Pr="00CC5F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C5F3A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proofErr w:type="gramEnd"/>
      <w:r w:rsidRPr="00CC5F3A">
        <w:rPr>
          <w:rFonts w:ascii="Times New Roman" w:eastAsia="Calibri" w:hAnsi="Times New Roman" w:cs="Times New Roman"/>
          <w:color w:val="000000"/>
          <w:sz w:val="28"/>
          <w:szCs w:val="28"/>
        </w:rPr>
        <w:t>особие. М.: Академический Проект; Екатеринбург: Деловая книга, 2000. - 624 с.</w:t>
      </w:r>
    </w:p>
    <w:p w:rsidR="00CC5F3A" w:rsidRPr="00CC5F3A" w:rsidRDefault="00CC5F3A" w:rsidP="00CC5F3A">
      <w:pPr>
        <w:numPr>
          <w:ilvl w:val="0"/>
          <w:numId w:val="1"/>
        </w:numPr>
        <w:spacing w:after="0" w:line="259" w:lineRule="auto"/>
        <w:ind w:left="59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F3A">
        <w:rPr>
          <w:rFonts w:ascii="Times New Roman" w:eastAsia="Calibri" w:hAnsi="Times New Roman" w:cs="Times New Roman"/>
          <w:color w:val="000000"/>
          <w:sz w:val="28"/>
          <w:szCs w:val="28"/>
        </w:rPr>
        <w:t>Абрамова Г.С. Возрастная психология,- М.: АСТ; ВЕЧЕ, 1999. – 126 с.</w:t>
      </w:r>
    </w:p>
    <w:p w:rsidR="00CC5F3A" w:rsidRPr="00CC5F3A" w:rsidRDefault="00CC5F3A" w:rsidP="00CC5F3A">
      <w:pPr>
        <w:numPr>
          <w:ilvl w:val="0"/>
          <w:numId w:val="1"/>
        </w:numPr>
        <w:spacing w:after="0" w:line="259" w:lineRule="auto"/>
        <w:ind w:left="59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F3A">
        <w:rPr>
          <w:rFonts w:ascii="Times New Roman" w:eastAsia="Calibri" w:hAnsi="Times New Roman" w:cs="Times New Roman"/>
          <w:color w:val="000000"/>
          <w:sz w:val="28"/>
          <w:szCs w:val="28"/>
        </w:rPr>
        <w:t>Бореев Ю.Б. Эстетика. - Р-на-Д.: Феникс, 2004. - с. 263-265.</w:t>
      </w:r>
    </w:p>
    <w:p w:rsidR="00CC5F3A" w:rsidRPr="00CC5F3A" w:rsidRDefault="00CC5F3A" w:rsidP="00CC5F3A">
      <w:pPr>
        <w:numPr>
          <w:ilvl w:val="0"/>
          <w:numId w:val="1"/>
        </w:numPr>
        <w:spacing w:after="0" w:line="259" w:lineRule="auto"/>
        <w:ind w:left="59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C5F3A">
        <w:rPr>
          <w:rFonts w:ascii="Times New Roman" w:eastAsia="Calibri" w:hAnsi="Times New Roman" w:cs="Times New Roman"/>
          <w:color w:val="000000"/>
          <w:sz w:val="28"/>
          <w:szCs w:val="28"/>
        </w:rPr>
        <w:t>Голейзовский</w:t>
      </w:r>
      <w:proofErr w:type="spellEnd"/>
      <w:r w:rsidRPr="00CC5F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К. Я. Образы русской народной хореографии. — М., 1964. – 213 с.</w:t>
      </w:r>
    </w:p>
    <w:p w:rsidR="00CC5F3A" w:rsidRPr="00CC5F3A" w:rsidRDefault="00CC5F3A" w:rsidP="00CC5F3A">
      <w:pPr>
        <w:numPr>
          <w:ilvl w:val="0"/>
          <w:numId w:val="1"/>
        </w:numPr>
        <w:spacing w:after="0" w:line="259" w:lineRule="auto"/>
        <w:ind w:left="59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F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Гинзбург В.В. Элементы антропологии для медиков. М., 1963. </w:t>
      </w:r>
      <w:proofErr w:type="spellStart"/>
      <w:r w:rsidRPr="00CC5F3A">
        <w:rPr>
          <w:rFonts w:ascii="Times New Roman" w:eastAsia="Calibri" w:hAnsi="Times New Roman" w:cs="Times New Roman"/>
          <w:color w:val="000000"/>
          <w:sz w:val="28"/>
          <w:szCs w:val="28"/>
        </w:rPr>
        <w:t>Цит</w:t>
      </w:r>
      <w:proofErr w:type="spellEnd"/>
      <w:r w:rsidRPr="00CC5F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C5F3A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proofErr w:type="gramEnd"/>
      <w:r w:rsidRPr="00CC5F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C5F3A">
        <w:rPr>
          <w:rFonts w:ascii="Times New Roman" w:eastAsia="Calibri" w:hAnsi="Times New Roman" w:cs="Times New Roman"/>
          <w:color w:val="000000"/>
          <w:sz w:val="28"/>
          <w:szCs w:val="28"/>
        </w:rPr>
        <w:t>Ананьев</w:t>
      </w:r>
      <w:proofErr w:type="gramEnd"/>
      <w:r w:rsidRPr="00CC5F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Б.Г. Человек как предмет познания. - СПб</w:t>
      </w:r>
      <w:proofErr w:type="gramStart"/>
      <w:r w:rsidRPr="00CC5F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CC5F3A">
        <w:rPr>
          <w:rFonts w:ascii="Times New Roman" w:eastAsia="Calibri" w:hAnsi="Times New Roman" w:cs="Times New Roman"/>
          <w:color w:val="000000"/>
          <w:sz w:val="28"/>
          <w:szCs w:val="28"/>
        </w:rPr>
        <w:t>2001. - с. 107.</w:t>
      </w:r>
    </w:p>
    <w:p w:rsidR="00CC5F3A" w:rsidRPr="00CC5F3A" w:rsidRDefault="00CC5F3A" w:rsidP="00CC5F3A">
      <w:pPr>
        <w:numPr>
          <w:ilvl w:val="0"/>
          <w:numId w:val="1"/>
        </w:numPr>
        <w:spacing w:after="0" w:line="259" w:lineRule="auto"/>
        <w:ind w:left="59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F3A">
        <w:rPr>
          <w:rFonts w:ascii="Times New Roman" w:eastAsia="Calibri" w:hAnsi="Times New Roman" w:cs="Times New Roman"/>
          <w:color w:val="000000"/>
          <w:sz w:val="28"/>
          <w:szCs w:val="28"/>
        </w:rPr>
        <w:t>Куликов Л.В. Психологическое исследование: Мет</w:t>
      </w:r>
      <w:proofErr w:type="gramStart"/>
      <w:r w:rsidRPr="00CC5F3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Pr="00CC5F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C5F3A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proofErr w:type="gramEnd"/>
      <w:r w:rsidRPr="00CC5F3A">
        <w:rPr>
          <w:rFonts w:ascii="Times New Roman" w:eastAsia="Calibri" w:hAnsi="Times New Roman" w:cs="Times New Roman"/>
          <w:color w:val="000000"/>
          <w:sz w:val="28"/>
          <w:szCs w:val="28"/>
        </w:rPr>
        <w:t>екомендации по проведению. - СПб</w:t>
      </w:r>
      <w:proofErr w:type="gramStart"/>
      <w:r w:rsidRPr="00CC5F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CC5F3A">
        <w:rPr>
          <w:rFonts w:ascii="Times New Roman" w:eastAsia="Calibri" w:hAnsi="Times New Roman" w:cs="Times New Roman"/>
          <w:color w:val="000000"/>
          <w:sz w:val="28"/>
          <w:szCs w:val="28"/>
        </w:rPr>
        <w:t>2002. – 121 с.</w:t>
      </w:r>
    </w:p>
    <w:p w:rsidR="00CC5F3A" w:rsidRPr="00CC5F3A" w:rsidRDefault="00CC5F3A" w:rsidP="00CC5F3A">
      <w:pPr>
        <w:numPr>
          <w:ilvl w:val="0"/>
          <w:numId w:val="1"/>
        </w:numPr>
        <w:spacing w:after="0" w:line="259" w:lineRule="auto"/>
        <w:ind w:left="59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F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Мелик-Пашаев А., </w:t>
      </w:r>
      <w:proofErr w:type="spellStart"/>
      <w:r w:rsidRPr="00CC5F3A">
        <w:rPr>
          <w:rFonts w:ascii="Times New Roman" w:eastAsia="Calibri" w:hAnsi="Times New Roman" w:cs="Times New Roman"/>
          <w:color w:val="000000"/>
          <w:sz w:val="28"/>
          <w:szCs w:val="28"/>
        </w:rPr>
        <w:t>Новлянская</w:t>
      </w:r>
      <w:proofErr w:type="spellEnd"/>
      <w:r w:rsidRPr="00CC5F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З. Трансформация детской игры в художественное творчество. Искусство в школе № 2. – М. 1994. - с. 9-18.</w:t>
      </w:r>
    </w:p>
    <w:p w:rsidR="00CC5F3A" w:rsidRPr="00CC5F3A" w:rsidRDefault="00CC5F3A" w:rsidP="00CC5F3A">
      <w:pPr>
        <w:numPr>
          <w:ilvl w:val="0"/>
          <w:numId w:val="1"/>
        </w:numPr>
        <w:spacing w:after="0" w:line="259" w:lineRule="auto"/>
        <w:ind w:left="59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F3A">
        <w:rPr>
          <w:rFonts w:ascii="Times New Roman" w:eastAsia="Calibri" w:hAnsi="Times New Roman" w:cs="Times New Roman"/>
          <w:color w:val="000000"/>
          <w:sz w:val="28"/>
          <w:szCs w:val="28"/>
        </w:rPr>
        <w:t>Мессерер A.M. Танец. Мысль. Время. М.: Искусство, 1990. - 355 с.</w:t>
      </w:r>
    </w:p>
    <w:p w:rsidR="00CC5F3A" w:rsidRPr="00CC5F3A" w:rsidRDefault="00CC5F3A" w:rsidP="00CC5F3A">
      <w:pPr>
        <w:numPr>
          <w:ilvl w:val="0"/>
          <w:numId w:val="1"/>
        </w:numPr>
        <w:spacing w:after="0" w:line="259" w:lineRule="auto"/>
        <w:ind w:left="59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F3A">
        <w:rPr>
          <w:rFonts w:ascii="Times New Roman" w:eastAsia="Calibri" w:hAnsi="Times New Roman" w:cs="Times New Roman"/>
          <w:color w:val="000000"/>
          <w:sz w:val="28"/>
          <w:szCs w:val="28"/>
        </w:rPr>
        <w:t>Мурзина Н. Хочется спешить жить // Танцевальный Вестник. 2003. №4. -с. 8-10.</w:t>
      </w:r>
    </w:p>
    <w:p w:rsidR="00CC5F3A" w:rsidRPr="00CC5F3A" w:rsidRDefault="00CC5F3A" w:rsidP="00CC5F3A">
      <w:pPr>
        <w:numPr>
          <w:ilvl w:val="0"/>
          <w:numId w:val="1"/>
        </w:numPr>
        <w:spacing w:after="0" w:line="259" w:lineRule="auto"/>
        <w:ind w:left="59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C5F3A">
        <w:rPr>
          <w:rFonts w:ascii="Times New Roman" w:eastAsia="Calibri" w:hAnsi="Times New Roman" w:cs="Times New Roman"/>
          <w:color w:val="000000"/>
          <w:sz w:val="28"/>
          <w:szCs w:val="28"/>
        </w:rPr>
        <w:t>Ромек</w:t>
      </w:r>
      <w:proofErr w:type="spellEnd"/>
      <w:r w:rsidRPr="00CC5F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В.Г. Проблема диагностики уверенности в зарубежной психологии (методом стандартизированного наблюдения) // Психологический вестник Ростовского государственного университета, Выпуск 2, Часть 1, Изд-во РГУ, 1997. – 124 с.</w:t>
      </w:r>
    </w:p>
    <w:p w:rsidR="000114E6" w:rsidRDefault="00CC5F3A" w:rsidP="000114E6">
      <w:pPr>
        <w:numPr>
          <w:ilvl w:val="0"/>
          <w:numId w:val="1"/>
        </w:numPr>
        <w:spacing w:after="0" w:line="259" w:lineRule="auto"/>
        <w:ind w:left="595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5F3A">
        <w:rPr>
          <w:rFonts w:ascii="Times New Roman" w:eastAsia="Calibri" w:hAnsi="Times New Roman" w:cs="Times New Roman"/>
          <w:color w:val="000000"/>
          <w:sz w:val="28"/>
          <w:szCs w:val="28"/>
        </w:rPr>
        <w:t>Щукина Г.И. Педагогические проблемы формирования познавательных интересов учащихся. М.: Педагогика, 1988. - 350с.</w:t>
      </w:r>
    </w:p>
    <w:p w:rsidR="00167F46" w:rsidRPr="000114E6" w:rsidRDefault="000114E6" w:rsidP="00167F46">
      <w:pPr>
        <w:rPr>
          <w:rFonts w:ascii="Times New Roman" w:eastAsia="Calibri" w:hAnsi="Times New Roman" w:cs="Times New Roman"/>
          <w:color w:val="000000"/>
          <w:sz w:val="36"/>
          <w:szCs w:val="28"/>
          <w:lang w:val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</w:p>
    <w:p w:rsidR="000114E6" w:rsidRPr="000114E6" w:rsidRDefault="000114E6" w:rsidP="000114E6">
      <w:pPr>
        <w:rPr>
          <w:rFonts w:ascii="Times New Roman" w:eastAsia="Calibri" w:hAnsi="Times New Roman" w:cs="Times New Roman"/>
          <w:color w:val="000000"/>
          <w:sz w:val="36"/>
          <w:szCs w:val="28"/>
          <w:lang w:val="en-US"/>
        </w:rPr>
      </w:pPr>
    </w:p>
    <w:sectPr w:rsidR="000114E6" w:rsidRPr="000114E6" w:rsidSect="000114E6">
      <w:footerReference w:type="default" r:id="rId8"/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101" w:rsidRDefault="004A3101" w:rsidP="000114E6">
      <w:pPr>
        <w:spacing w:after="0" w:line="240" w:lineRule="auto"/>
      </w:pPr>
      <w:r>
        <w:separator/>
      </w:r>
    </w:p>
  </w:endnote>
  <w:endnote w:type="continuationSeparator" w:id="0">
    <w:p w:rsidR="004A3101" w:rsidRDefault="004A3101" w:rsidP="00011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6360018"/>
      <w:docPartObj>
        <w:docPartGallery w:val="Page Numbers (Bottom of Page)"/>
        <w:docPartUnique/>
      </w:docPartObj>
    </w:sdtPr>
    <w:sdtEndPr/>
    <w:sdtContent>
      <w:p w:rsidR="000114E6" w:rsidRDefault="000114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9C5">
          <w:rPr>
            <w:noProof/>
          </w:rPr>
          <w:t>9</w:t>
        </w:r>
        <w:r>
          <w:fldChar w:fldCharType="end"/>
        </w:r>
      </w:p>
    </w:sdtContent>
  </w:sdt>
  <w:p w:rsidR="000114E6" w:rsidRDefault="000114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101" w:rsidRDefault="004A3101" w:rsidP="000114E6">
      <w:pPr>
        <w:spacing w:after="0" w:line="240" w:lineRule="auto"/>
      </w:pPr>
      <w:r>
        <w:separator/>
      </w:r>
    </w:p>
  </w:footnote>
  <w:footnote w:type="continuationSeparator" w:id="0">
    <w:p w:rsidR="004A3101" w:rsidRDefault="004A3101" w:rsidP="00011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3099"/>
    <w:multiLevelType w:val="hybridMultilevel"/>
    <w:tmpl w:val="3E5232D8"/>
    <w:lvl w:ilvl="0" w:tplc="B23E8D6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D5"/>
    <w:rsid w:val="000114E6"/>
    <w:rsid w:val="00167F46"/>
    <w:rsid w:val="0046189C"/>
    <w:rsid w:val="004A3101"/>
    <w:rsid w:val="004E7376"/>
    <w:rsid w:val="006242D6"/>
    <w:rsid w:val="00773A39"/>
    <w:rsid w:val="007A69C5"/>
    <w:rsid w:val="00950ED5"/>
    <w:rsid w:val="00A40395"/>
    <w:rsid w:val="00CC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4E6"/>
  </w:style>
  <w:style w:type="paragraph" w:styleId="a5">
    <w:name w:val="footer"/>
    <w:basedOn w:val="a"/>
    <w:link w:val="a6"/>
    <w:uiPriority w:val="99"/>
    <w:unhideWhenUsed/>
    <w:rsid w:val="00011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4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4E6"/>
  </w:style>
  <w:style w:type="paragraph" w:styleId="a5">
    <w:name w:val="footer"/>
    <w:basedOn w:val="a"/>
    <w:link w:val="a6"/>
    <w:uiPriority w:val="99"/>
    <w:unhideWhenUsed/>
    <w:rsid w:val="00011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2019-12-19T22:26:00Z</dcterms:created>
  <dcterms:modified xsi:type="dcterms:W3CDTF">2020-11-11T08:01:00Z</dcterms:modified>
</cp:coreProperties>
</file>