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2AE" w:rsidRPr="00A172AE" w:rsidRDefault="004E010B" w:rsidP="00A172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Статья: </w:t>
      </w:r>
      <w:r w:rsidR="00A172AE" w:rsidRPr="00A172AE"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Применение нейроигровых технологий в работе</w:t>
      </w:r>
    </w:p>
    <w:p w:rsidR="00A172AE" w:rsidRDefault="00A172AE" w:rsidP="00A172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2AE"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педагога – психолога </w:t>
      </w:r>
    </w:p>
    <w:p w:rsidR="00A172AE" w:rsidRPr="00A172AE" w:rsidRDefault="00A172AE" w:rsidP="00A172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2AE">
        <w:rPr>
          <w:rFonts w:ascii="Times New Roman" w:hAnsi="Times New Roman" w:cs="Times New Roman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Игровой практикум «НейроУмки».</w:t>
      </w:r>
    </w:p>
    <w:bookmarkEnd w:id="0"/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 Нейропсихологические исследования А.Р. Лурии, Л.С. Цветковой, Е.Д., Хомской, А.В. Семенович, Э.Г. Симерницкой и других отечественных учёных показали, что учебные трудности часто имеют под собой физиологическую основу – поражение или дисфункцию определённых мозговых областей, которые и ведут к нарушению таких ВПФ, как речь и письмо, чтение и счёт, интеллектуальная деятельность и память. В таких случаях очень действенными являются методы восстановительного обучения. Т.е. такие методы, которые позволяют воссоздать в развёрнутом виде внутреннюю структуру нарушенного звена в распавшейся функции с помощью вынесения наружу отдельных, строго соответствующих структуре дефекта операций, последовательное выполнение которых может привести к осуществлению пострадавшей (несформированной) деятельности. Выписанные в нужной последовательности, операции и составят программу, управляющую извне ходом восстановления, нарушенного (несформированного) действия и позволяющую контролировать этот ход. В программное обеспечение работы входят: программа комплексной нейропсихологической коррекции и абелитами процессов развития в детском возрасте (А.В. Семенович), программа сенсомоторной коррекции при психосоматических расстройствах в детском возрасте (А.С. Султанова), курс нейропсихологических коррекционных занятий с детьми 5-10 лет (М.В. Евлампиева и др.,), программа нейропсихологического развития и коррекции детей с синдромом дефицита внимания и гиперреактивности (А.Л. Сиротюк), нейропсихологические занятия с детьми (В.С. Колгановой, Е.В. Пивоваровой).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  Использование нейропсихологических методов и методик в работе эффективно интегрируется в процесс психолого-педагогического сопровождения процессов развития детей и позволяет получить положительный результат и в познавательном развитии, и в развитии регулятивных функций, а также способствует эмоциональному, личностному и коммуникативному развитию детей. Проект предназначен для детей 5-7 лет (старшая и подготовительная группы). Педагогическая целесообразность состоит в том, что в процессе реализации воспитанники овладевают знаниями, умениями, навыками, которые смогут применять в бытовой деятельности. Это расширит их возможности в реализации личностного и творческого потенциала. Воздействие оказывается комплексно — на эмоциональную, когнитивную и сенсомоторную сферы.   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В настоящее время нейропсихологическая коррекция пользуется большим спросом, поскольку является очень эффективным методом восстановления естественного хода развития ребёнка и помощи ему в подготовке к предстоящему обучению в школе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  Работая в дошкольной организации, я столкнулась с ежегодным увеличением количества детей с различными нарушениями в развитии. У многих детей отсутствует или недостаточно сформирована речевая коммуникация и связная речь, что создает барьеры в межличностном взаимодействии. Это прослеживается: воспитанники в основном малоразговорчивы с педагогом и со сверстниками, невнимательны, не умеют последовательно излагать свои мысли, передавать их содержание, вести конструктивный диалог, хотя многие понимают обращенную к ним речь. Все труднее стало удерживать внимание детей, попытки заинтересовать чаще становятся безуспешными. Вследствие чего повышается тревожность, появляться страхи, агрессивность, обидчивость. Дети не могут себя контролировать.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 И у меня возникли вопросы: почему так получается? От куда вытекает эта проблема? И какой орган за это отвечает? Как отвечают многие ученые, это, безусловно, мозг. Без мозга мы не можем полноценно существовать, потому что все органы в нашем организме функционируют в соответствии с изменяющимися условиями внешней среды, именно благодаря мозгу. Мы функционируем, как единый симбиоз, благодаря множеству нейронных связей, возникающих в нашем мозгу ежеминутно. Именно мозг-является той тайной, которая всегда привлекала людей, побуждала ученый открывать новые факты, как с точки зрения анатомии, так и с точки зрения физиологии.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  Ведущей деятельностью детей в дошкольном возрасте, является игра. В своей работе, я использую здоровьесберегающие технологии: дыхательные гимнастики, физминутки, пальчиковые гимнастики, игротерапия и многое другое. Что бы помочь ребенку скорректировать некоторые психологические процессы, я внедряю в практику работы </w:t>
      </w:r>
      <w:proofErr w:type="spellStart"/>
      <w:r w:rsidRPr="00A172AE">
        <w:rPr>
          <w:rFonts w:ascii="Times New Roman" w:hAnsi="Times New Roman" w:cs="Times New Roman"/>
          <w:color w:val="1F4E79" w:themeColor="accent1" w:themeShade="80"/>
        </w:rPr>
        <w:t>нейроигры</w:t>
      </w:r>
      <w:proofErr w:type="spellEnd"/>
      <w:r w:rsidRPr="00A172AE">
        <w:rPr>
          <w:rFonts w:ascii="Times New Roman" w:hAnsi="Times New Roman" w:cs="Times New Roman"/>
          <w:color w:val="1F4E79" w:themeColor="accent1" w:themeShade="80"/>
        </w:rPr>
        <w:t>, упражнений, выполнение которых под силу каждому ребенку.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Это различные телесно-ориентированные упражнения, которые позволяют через движения тела воздействовать на мозговые структуры, и, таким образом, как бы стимулируют мозговые зоны, которые связаны с мышлением, речью, вниманием, памятью и другими психическими процессами.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 xml:space="preserve">       </w:t>
      </w:r>
      <w:r w:rsidRPr="00A172AE">
        <w:rPr>
          <w:rFonts w:ascii="Times New Roman" w:hAnsi="Times New Roman" w:cs="Times New Roman"/>
          <w:color w:val="FF0000"/>
        </w:rPr>
        <w:t xml:space="preserve">Проект </w:t>
      </w:r>
      <w:r w:rsidRPr="00A172AE">
        <w:rPr>
          <w:rFonts w:ascii="Times New Roman" w:hAnsi="Times New Roman" w:cs="Times New Roman"/>
          <w:color w:val="1F4E79" w:themeColor="accent1" w:themeShade="80"/>
        </w:rPr>
        <w:t>««НейроУмки» рассчит</w:t>
      </w:r>
      <w:r>
        <w:rPr>
          <w:rFonts w:ascii="Times New Roman" w:hAnsi="Times New Roman" w:cs="Times New Roman"/>
          <w:color w:val="1F4E79" w:themeColor="accent1" w:themeShade="80"/>
        </w:rPr>
        <w:t xml:space="preserve">ан на детей от 6-7-ми лет. </w:t>
      </w:r>
      <w:r w:rsidRPr="00A172AE">
        <w:rPr>
          <w:rFonts w:ascii="Times New Roman" w:hAnsi="Times New Roman" w:cs="Times New Roman"/>
          <w:color w:val="1F4E79" w:themeColor="accent1" w:themeShade="80"/>
        </w:rPr>
        <w:t xml:space="preserve">Наш игровой практикум адаптирован для детей старше-подготовительных к школе групп и их родителей. Реализуется с учетом возрастных физиологических и психологических особенностей дошкольников. 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b/>
          <w:color w:val="FF0000"/>
        </w:rPr>
        <w:t>Цель:</w:t>
      </w:r>
      <w:r w:rsidRPr="00A172AE">
        <w:rPr>
          <w:rFonts w:ascii="Times New Roman" w:hAnsi="Times New Roman" w:cs="Times New Roman"/>
          <w:color w:val="FF0000"/>
        </w:rPr>
        <w:t xml:space="preserve"> </w:t>
      </w:r>
      <w:r w:rsidRPr="00A172AE">
        <w:rPr>
          <w:rFonts w:ascii="Times New Roman" w:hAnsi="Times New Roman" w:cs="Times New Roman"/>
          <w:color w:val="1F4E79" w:themeColor="accent1" w:themeShade="80"/>
        </w:rPr>
        <w:t>стабилизация и активация энергетического потенциала организма, повышение пластичности сенсомоторного обеспечения психических процессов.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A172AE">
        <w:rPr>
          <w:rFonts w:ascii="Times New Roman" w:hAnsi="Times New Roman" w:cs="Times New Roman"/>
          <w:b/>
          <w:color w:val="FF0000"/>
        </w:rPr>
        <w:t>Благодаря нейропсихологическим играм улучшаются: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>крупная моторика (улучшаются плавность движений, точность, ловкость, осанка, походка);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 xml:space="preserve">мелкая моторика; зрительно-моторная координация (улучшается почерк, манипулирование мелкими предметами, устраняются эффекты </w:t>
      </w:r>
      <w:proofErr w:type="spellStart"/>
      <w:r w:rsidRPr="00A172AE">
        <w:rPr>
          <w:rFonts w:ascii="Times New Roman" w:hAnsi="Times New Roman" w:cs="Times New Roman"/>
          <w:color w:val="1F4E79" w:themeColor="accent1" w:themeShade="80"/>
        </w:rPr>
        <w:t>отзеркаливания</w:t>
      </w:r>
      <w:proofErr w:type="spellEnd"/>
      <w:r w:rsidRPr="00A172AE">
        <w:rPr>
          <w:rFonts w:ascii="Times New Roman" w:hAnsi="Times New Roman" w:cs="Times New Roman"/>
          <w:color w:val="1F4E79" w:themeColor="accent1" w:themeShade="80"/>
        </w:rPr>
        <w:t xml:space="preserve"> букв и цифр, буквы пишутся более ровно и не выходят за пределы строки)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lastRenderedPageBreak/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>улучшаются функции сенсорной интеграции;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>улучшается произносительная часть речи (четкость звуков, плавность речи);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>повышается концентрация внимания;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>улучшаются глазодвигательные функции, что повышает скорость чтения;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Segoe UI Symbol" w:hAnsi="Segoe UI Symbol" w:cs="Segoe UI Symbol"/>
          <w:color w:val="1F4E79" w:themeColor="accent1" w:themeShade="80"/>
        </w:rPr>
        <w:t>✅</w:t>
      </w:r>
      <w:r w:rsidRPr="00A172AE">
        <w:rPr>
          <w:rFonts w:ascii="Times New Roman" w:hAnsi="Times New Roman" w:cs="Times New Roman"/>
          <w:color w:val="1F4E79" w:themeColor="accent1" w:themeShade="80"/>
        </w:rPr>
        <w:t xml:space="preserve">повышается скорость мышления. </w:t>
      </w: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</w:p>
    <w:p w:rsidR="00A172AE" w:rsidRPr="00A172AE" w:rsidRDefault="00A172AE" w:rsidP="00A172AE">
      <w:pPr>
        <w:spacing w:after="0"/>
        <w:jc w:val="both"/>
        <w:rPr>
          <w:rFonts w:ascii="Times New Roman" w:hAnsi="Times New Roman" w:cs="Times New Roman"/>
          <w:color w:val="1F4E79" w:themeColor="accent1" w:themeShade="80"/>
        </w:rPr>
      </w:pPr>
      <w:r>
        <w:rPr>
          <w:noProof/>
          <w:lang w:eastAsia="ru-RU"/>
        </w:rPr>
        <w:drawing>
          <wp:inline distT="0" distB="0" distL="0" distR="0" wp14:anchorId="1D6B40C5" wp14:editId="46252319">
            <wp:extent cx="3095929" cy="2321560"/>
            <wp:effectExtent l="133350" t="114300" r="123825" b="154940"/>
            <wp:docPr id="9" name="Содержимое 8" descr="IMG_20240123_091228_4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240123_091228_410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32" cy="233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172A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69DE32" wp14:editId="30B0AE0E">
            <wp:extent cx="3085889" cy="2314416"/>
            <wp:effectExtent l="133350" t="114300" r="133985" b="143510"/>
            <wp:docPr id="5" name="Picture 2" descr="C:\Users\Дом\Pictures\фото дети\IMG_20240123_1024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Дом\Pictures\фото дети\IMG_20240123_102400_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88" cy="232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2AE" w:rsidRDefault="00A172AE" w:rsidP="00A172AE">
      <w:pPr>
        <w:spacing w:after="0"/>
        <w:rPr>
          <w:rFonts w:ascii="Times New Roman" w:hAnsi="Times New Roman" w:cs="Times New Roman"/>
          <w:color w:val="1F4E79" w:themeColor="accent1" w:themeShade="80"/>
        </w:rPr>
      </w:pPr>
    </w:p>
    <w:p w:rsidR="00A172AE" w:rsidRDefault="00A172AE" w:rsidP="00A172AE">
      <w:pPr>
        <w:spacing w:after="0"/>
        <w:rPr>
          <w:rFonts w:ascii="Times New Roman" w:hAnsi="Times New Roman" w:cs="Times New Roman"/>
          <w:color w:val="1F4E79" w:themeColor="accent1" w:themeShade="80"/>
        </w:rPr>
      </w:pPr>
    </w:p>
    <w:p w:rsidR="00A172AE" w:rsidRDefault="00A172AE" w:rsidP="00A172AE">
      <w:pPr>
        <w:spacing w:after="0"/>
        <w:jc w:val="center"/>
        <w:rPr>
          <w:rFonts w:ascii="Times New Roman" w:hAnsi="Times New Roman" w:cs="Times New Roman"/>
          <w:color w:val="1F4E79" w:themeColor="accent1" w:themeShade="80"/>
        </w:rPr>
      </w:pPr>
      <w:r>
        <w:rPr>
          <w:noProof/>
          <w:lang w:eastAsia="ru-RU"/>
        </w:rPr>
        <w:drawing>
          <wp:inline distT="0" distB="0" distL="0" distR="0" wp14:anchorId="72CF3DF2" wp14:editId="7475A224">
            <wp:extent cx="3067050" cy="2299920"/>
            <wp:effectExtent l="133350" t="114300" r="133350" b="139065"/>
            <wp:docPr id="6" name="Содержимое 6" descr="IMG_20230922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6" descr="IMG_20230922_15074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86" cy="231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BE836" wp14:editId="0C704C56">
            <wp:extent cx="2971800" cy="2133600"/>
            <wp:effectExtent l="133350" t="114300" r="133350" b="152400"/>
            <wp:docPr id="2" name="Содержимое 5" descr="IMG_20231004_1525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231004_15254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r="10345" b="1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2AE" w:rsidRDefault="00A172AE" w:rsidP="00A172AE">
      <w:pPr>
        <w:spacing w:after="0"/>
        <w:rPr>
          <w:rFonts w:ascii="Times New Roman" w:hAnsi="Times New Roman" w:cs="Times New Roman"/>
          <w:color w:val="1F4E79" w:themeColor="accent1" w:themeShade="80"/>
        </w:rPr>
      </w:pPr>
      <w:r>
        <w:rPr>
          <w:rFonts w:ascii="Times New Roman" w:hAnsi="Times New Roman" w:cs="Times New Roman"/>
          <w:noProof/>
          <w:color w:val="1F4E79" w:themeColor="accent1" w:themeShade="80"/>
          <w:lang w:eastAsia="ru-RU"/>
        </w:rPr>
        <w:drawing>
          <wp:inline distT="0" distB="0" distL="0" distR="0" wp14:anchorId="40655826">
            <wp:extent cx="2419350" cy="248906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25" cy="249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72A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1C240A" wp14:editId="1A7D6314">
            <wp:extent cx="3962400" cy="2484836"/>
            <wp:effectExtent l="133350" t="133350" r="152400" b="163195"/>
            <wp:docPr id="4" name="Содержимое 4" descr="IMG_20240123_093719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 descr="IMG_20240123_093719_08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-1724" t="25036" r="1206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84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2AE" w:rsidRDefault="00A172AE" w:rsidP="00A172AE">
      <w:pPr>
        <w:spacing w:after="0"/>
        <w:rPr>
          <w:rFonts w:ascii="Times New Roman" w:hAnsi="Times New Roman" w:cs="Times New Roman"/>
          <w:color w:val="1F4E79" w:themeColor="accent1" w:themeShade="80"/>
        </w:rPr>
      </w:pPr>
    </w:p>
    <w:p w:rsidR="00A172AE" w:rsidRPr="00A172AE" w:rsidRDefault="00A172AE" w:rsidP="00A172AE">
      <w:pPr>
        <w:spacing w:after="0"/>
        <w:jc w:val="center"/>
        <w:rPr>
          <w:rFonts w:ascii="Times New Roman" w:hAnsi="Times New Roman" w:cs="Times New Roman"/>
          <w:color w:val="1F4E79" w:themeColor="accent1" w:themeShade="80"/>
        </w:rPr>
      </w:pPr>
      <w:r>
        <w:rPr>
          <w:rFonts w:ascii="Times New Roman" w:hAnsi="Times New Roman" w:cs="Times New Roman"/>
          <w:color w:val="1F4E79" w:themeColor="accent1" w:themeShade="80"/>
        </w:rPr>
        <w:t xml:space="preserve">                                                                                                                </w:t>
      </w:r>
      <w:r w:rsidRPr="00A172AE">
        <w:rPr>
          <w:rFonts w:ascii="Times New Roman" w:hAnsi="Times New Roman" w:cs="Times New Roman"/>
          <w:color w:val="1F4E79" w:themeColor="accent1" w:themeShade="80"/>
        </w:rPr>
        <w:t>Педагог-психолог</w:t>
      </w:r>
      <w:r>
        <w:rPr>
          <w:rFonts w:ascii="Times New Roman" w:hAnsi="Times New Roman" w:cs="Times New Roman"/>
          <w:color w:val="1F4E79" w:themeColor="accent1" w:themeShade="80"/>
        </w:rPr>
        <w:t xml:space="preserve">: </w:t>
      </w:r>
      <w:r w:rsidRPr="00A172AE">
        <w:rPr>
          <w:rFonts w:ascii="Times New Roman" w:hAnsi="Times New Roman" w:cs="Times New Roman"/>
          <w:color w:val="1F4E79" w:themeColor="accent1" w:themeShade="80"/>
        </w:rPr>
        <w:t>Карандина Елена Александровна</w:t>
      </w:r>
    </w:p>
    <w:p w:rsidR="00EF5B3A" w:rsidRPr="00A172AE" w:rsidRDefault="00A172AE" w:rsidP="00A172AE">
      <w:pPr>
        <w:spacing w:after="0"/>
        <w:jc w:val="right"/>
        <w:rPr>
          <w:rFonts w:ascii="Times New Roman" w:hAnsi="Times New Roman" w:cs="Times New Roman"/>
          <w:color w:val="1F4E79" w:themeColor="accent1" w:themeShade="80"/>
        </w:rPr>
      </w:pPr>
      <w:r w:rsidRPr="00A172AE">
        <w:rPr>
          <w:rFonts w:ascii="Times New Roman" w:hAnsi="Times New Roman" w:cs="Times New Roman"/>
          <w:color w:val="1F4E79" w:themeColor="accent1" w:themeShade="80"/>
        </w:rPr>
        <w:t>МБДОУ «Детский</w:t>
      </w:r>
      <w:r>
        <w:rPr>
          <w:rFonts w:ascii="Times New Roman" w:hAnsi="Times New Roman" w:cs="Times New Roman"/>
          <w:color w:val="1F4E79" w:themeColor="accent1" w:themeShade="80"/>
        </w:rPr>
        <w:t xml:space="preserve"> сад № 12 компенсирующего вида»</w:t>
      </w:r>
    </w:p>
    <w:sectPr w:rsidR="00EF5B3A" w:rsidRPr="00A172AE" w:rsidSect="00A172AE">
      <w:pgSz w:w="11906" w:h="16838"/>
      <w:pgMar w:top="284" w:right="284" w:bottom="284" w:left="284" w:header="709" w:footer="709" w:gutter="0"/>
      <w:pgBorders w:offsetFrom="page">
        <w:top w:val="doubleWave" w:sz="6" w:space="6" w:color="auto"/>
        <w:left w:val="doubleWave" w:sz="6" w:space="6" w:color="auto"/>
        <w:bottom w:val="doubleWave" w:sz="6" w:space="6" w:color="auto"/>
        <w:right w:val="doubleWave" w:sz="6" w:space="6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48"/>
    <w:rsid w:val="00485A12"/>
    <w:rsid w:val="004E010B"/>
    <w:rsid w:val="00A172AE"/>
    <w:rsid w:val="00D81648"/>
    <w:rsid w:val="00E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31C04-8821-4F28-8CF9-29551F28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ПТП</dc:creator>
  <cp:keywords/>
  <dc:description/>
  <cp:lastModifiedBy>ПТП</cp:lastModifiedBy>
  <cp:revision>4</cp:revision>
  <dcterms:created xsi:type="dcterms:W3CDTF">2024-11-21T14:17:00Z</dcterms:created>
  <dcterms:modified xsi:type="dcterms:W3CDTF">2024-11-30T06:49:00Z</dcterms:modified>
</cp:coreProperties>
</file>