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539DC" w14:textId="77777777" w:rsidR="00392033" w:rsidRPr="00FD0815" w:rsidRDefault="00392033" w:rsidP="003920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FD081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Григоренко И.В.</w:t>
      </w:r>
    </w:p>
    <w:p w14:paraId="2C79A063" w14:textId="77777777" w:rsidR="00392033" w:rsidRPr="00FD0815" w:rsidRDefault="00392033" w:rsidP="003920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п</w:t>
      </w:r>
      <w:r w:rsidRPr="00FD081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реподаватель теоретических дисциплин</w:t>
      </w:r>
    </w:p>
    <w:p w14:paraId="510ACC5B" w14:textId="77777777" w:rsidR="00392033" w:rsidRPr="00FD0815" w:rsidRDefault="00392033" w:rsidP="003920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FD081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МБОУ ДО ЛДШИ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№</w:t>
      </w:r>
      <w:r w:rsidRPr="00FD081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1</w:t>
      </w:r>
    </w:p>
    <w:p w14:paraId="264EA975" w14:textId="77777777" w:rsidR="00392033" w:rsidRPr="00FD0815" w:rsidRDefault="00392033" w:rsidP="0039203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FD0815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Россия, Лянтор</w:t>
      </w:r>
    </w:p>
    <w:p w14:paraId="32C7C4A6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9D24E8" w14:textId="6ADB4EC7" w:rsidR="00392033" w:rsidRPr="00FD0815" w:rsidRDefault="00211E49" w:rsidP="008B2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="00392033" w:rsidRPr="00FD081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«ПАВАНА СПЯЩЕЙ КРАСАВИЦЫ» 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МОРИСА РАВЕЛЯ:</w:t>
      </w:r>
      <w:r w:rsidR="00392033" w:rsidRPr="00FD081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39203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Л</w:t>
      </w:r>
      <w:r w:rsidR="00392033" w:rsidRPr="00FD081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ИТЕРАТУРНАЯ</w:t>
      </w:r>
      <w:r w:rsidR="008B2F2A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="00392033" w:rsidRPr="00FD081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ЗЕРКАЛЬНОСТЬ И МУЗЫКАЛЬНАЯ ИНВЕРСИЯ</w:t>
      </w:r>
    </w:p>
    <w:p w14:paraId="5E9D9905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</w:p>
    <w:p w14:paraId="73C32685" w14:textId="4F246A89" w:rsidR="002D5167" w:rsidRDefault="002D5167" w:rsidP="002D51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63E0E" w:rsidRPr="002D5167">
        <w:rPr>
          <w:rFonts w:ascii="Times New Roman" w:hAnsi="Times New Roman" w:cs="Times New Roman"/>
          <w:sz w:val="28"/>
          <w:szCs w:val="28"/>
        </w:rPr>
        <w:t>Знакомство</w:t>
      </w:r>
      <w:r w:rsidR="00063E0E">
        <w:rPr>
          <w:rFonts w:ascii="Times New Roman" w:hAnsi="Times New Roman" w:cs="Times New Roman"/>
          <w:sz w:val="28"/>
          <w:szCs w:val="28"/>
        </w:rPr>
        <w:t xml:space="preserve"> учеников </w:t>
      </w:r>
      <w:r w:rsidRPr="002D5167">
        <w:rPr>
          <w:rFonts w:ascii="Times New Roman" w:hAnsi="Times New Roman" w:cs="Times New Roman"/>
          <w:sz w:val="28"/>
          <w:szCs w:val="28"/>
        </w:rPr>
        <w:t xml:space="preserve">с творчеством выдающегося композитора Мориса Равеля происходит на всех трех ступенях музыкального образования: начиная от прослушивания пьес </w:t>
      </w:r>
      <w:r w:rsidR="00211E49">
        <w:rPr>
          <w:rFonts w:ascii="Times New Roman" w:hAnsi="Times New Roman" w:cs="Times New Roman"/>
          <w:sz w:val="28"/>
          <w:szCs w:val="28"/>
        </w:rPr>
        <w:t xml:space="preserve">«Волшебный сад» и «Болеро» </w:t>
      </w:r>
      <w:r w:rsidRPr="002D5167">
        <w:rPr>
          <w:rFonts w:ascii="Times New Roman" w:hAnsi="Times New Roman" w:cs="Times New Roman"/>
          <w:sz w:val="28"/>
          <w:szCs w:val="28"/>
        </w:rPr>
        <w:t>на уроках в музыкальной школе, лекций в музыкальном училище,</w:t>
      </w:r>
      <w:r w:rsidR="00063E0E">
        <w:rPr>
          <w:rFonts w:ascii="Times New Roman" w:hAnsi="Times New Roman" w:cs="Times New Roman"/>
          <w:sz w:val="28"/>
          <w:szCs w:val="28"/>
        </w:rPr>
        <w:t xml:space="preserve"> посвященным основным жанрам творчества композитора, </w:t>
      </w:r>
      <w:r w:rsidRPr="002D5167">
        <w:rPr>
          <w:rFonts w:ascii="Times New Roman" w:hAnsi="Times New Roman" w:cs="Times New Roman"/>
          <w:sz w:val="28"/>
          <w:szCs w:val="28"/>
        </w:rPr>
        <w:t xml:space="preserve">до обобщающих семинаров </w:t>
      </w:r>
      <w:r w:rsidR="00211E49">
        <w:rPr>
          <w:rFonts w:ascii="Times New Roman" w:hAnsi="Times New Roman" w:cs="Times New Roman"/>
          <w:sz w:val="28"/>
          <w:szCs w:val="28"/>
        </w:rPr>
        <w:t xml:space="preserve">в </w:t>
      </w:r>
      <w:r w:rsidRPr="002D5167">
        <w:rPr>
          <w:rFonts w:ascii="Times New Roman" w:hAnsi="Times New Roman" w:cs="Times New Roman"/>
          <w:sz w:val="28"/>
          <w:szCs w:val="28"/>
        </w:rPr>
        <w:t>консерватории. Парадокс прохождения некоторых произведений заключается в том, что, изучая в младших классах музыкальной школы, позже уже – в среднем звене и выше - к ним не возвращаются.</w:t>
      </w:r>
      <w:r w:rsidR="00211E49">
        <w:rPr>
          <w:rFonts w:ascii="Times New Roman" w:hAnsi="Times New Roman" w:cs="Times New Roman"/>
          <w:sz w:val="28"/>
          <w:szCs w:val="28"/>
        </w:rPr>
        <w:t xml:space="preserve"> Хотя данное произведение может раскрыться </w:t>
      </w:r>
      <w:r w:rsidR="00063E0E">
        <w:rPr>
          <w:rFonts w:ascii="Times New Roman" w:hAnsi="Times New Roman" w:cs="Times New Roman"/>
          <w:sz w:val="28"/>
          <w:szCs w:val="28"/>
        </w:rPr>
        <w:t xml:space="preserve">в </w:t>
      </w:r>
      <w:r w:rsidR="00211E49">
        <w:rPr>
          <w:rFonts w:ascii="Times New Roman" w:hAnsi="Times New Roman" w:cs="Times New Roman"/>
          <w:sz w:val="28"/>
          <w:szCs w:val="28"/>
        </w:rPr>
        <w:t>совершенно необычном ключе.</w:t>
      </w:r>
      <w:r w:rsidRPr="002D5167">
        <w:rPr>
          <w:rFonts w:ascii="Times New Roman" w:hAnsi="Times New Roman" w:cs="Times New Roman"/>
          <w:sz w:val="28"/>
          <w:szCs w:val="28"/>
        </w:rPr>
        <w:t xml:space="preserve"> Возможной причиной такого положения вещей может быть небольшое количество лекционных часов. Одним из таких феноменов стала фортепианная музыка Равеля для детей.  </w:t>
      </w:r>
      <w:r>
        <w:rPr>
          <w:rFonts w:ascii="Times New Roman" w:hAnsi="Times New Roman" w:cs="Times New Roman"/>
          <w:sz w:val="28"/>
          <w:szCs w:val="28"/>
        </w:rPr>
        <w:t xml:space="preserve">Цикл </w:t>
      </w:r>
      <w:r w:rsidRPr="002D5167">
        <w:rPr>
          <w:rFonts w:ascii="Times New Roman" w:hAnsi="Times New Roman" w:cs="Times New Roman"/>
          <w:sz w:val="28"/>
          <w:szCs w:val="28"/>
        </w:rPr>
        <w:t xml:space="preserve">«Моя матушка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D5167">
        <w:rPr>
          <w:rFonts w:ascii="Times New Roman" w:hAnsi="Times New Roman" w:cs="Times New Roman"/>
          <w:sz w:val="28"/>
          <w:szCs w:val="28"/>
        </w:rPr>
        <w:t xml:space="preserve">усыня» </w:t>
      </w:r>
      <w:r>
        <w:rPr>
          <w:rFonts w:ascii="Times New Roman" w:hAnsi="Times New Roman" w:cs="Times New Roman"/>
          <w:sz w:val="28"/>
          <w:szCs w:val="28"/>
        </w:rPr>
        <w:t xml:space="preserve">по своим художественным достоинствам выходит за рамки только детской музыки. </w:t>
      </w:r>
      <w:r w:rsidRPr="002D5167">
        <w:rPr>
          <w:rFonts w:ascii="Times New Roman" w:hAnsi="Times New Roman" w:cs="Times New Roman"/>
          <w:sz w:val="28"/>
          <w:szCs w:val="28"/>
        </w:rPr>
        <w:t xml:space="preserve">В данной статье была предпринята попытка осмысления </w:t>
      </w:r>
      <w:r>
        <w:rPr>
          <w:rFonts w:ascii="Times New Roman" w:hAnsi="Times New Roman" w:cs="Times New Roman"/>
          <w:sz w:val="28"/>
          <w:szCs w:val="28"/>
        </w:rPr>
        <w:t xml:space="preserve">одной из пьес этого </w:t>
      </w:r>
      <w:r w:rsidRPr="002D5167">
        <w:rPr>
          <w:rFonts w:ascii="Times New Roman" w:hAnsi="Times New Roman" w:cs="Times New Roman"/>
          <w:sz w:val="28"/>
          <w:szCs w:val="28"/>
        </w:rPr>
        <w:t>цикла с позиции обще</w:t>
      </w:r>
      <w:r>
        <w:rPr>
          <w:rFonts w:ascii="Times New Roman" w:hAnsi="Times New Roman" w:cs="Times New Roman"/>
          <w:sz w:val="28"/>
          <w:szCs w:val="28"/>
        </w:rPr>
        <w:t xml:space="preserve">культурного </w:t>
      </w:r>
      <w:r w:rsidRPr="002D5167">
        <w:rPr>
          <w:rFonts w:ascii="Times New Roman" w:hAnsi="Times New Roman" w:cs="Times New Roman"/>
          <w:sz w:val="28"/>
          <w:szCs w:val="28"/>
        </w:rPr>
        <w:t>контекста.</w:t>
      </w:r>
    </w:p>
    <w:p w14:paraId="5F042C42" w14:textId="13EEB7B5" w:rsidR="00392033" w:rsidRPr="00FD0815" w:rsidRDefault="002D5167" w:rsidP="002D5167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</w:t>
      </w:r>
      <w:r w:rsidR="00392033" w:rsidRPr="002D516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Осень 1908 года для М. Равеля ознаменовалась появлением сборника пяти детских пьес для фортепиано в 4 руки под названием «Моя матушка Гусыня».</w:t>
      </w:r>
      <w:r w:rsidR="00392033"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9203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Мир может быть благодарен</w:t>
      </w:r>
      <w:r w:rsidR="00392033"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Мими и Жан</w:t>
      </w:r>
      <w:r w:rsidR="0039203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</w:t>
      </w:r>
      <w:r w:rsidR="00392033"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392033"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Годебски</w:t>
      </w:r>
      <w:proofErr w:type="spellEnd"/>
      <w:r w:rsidR="0039203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- маленьким друзьям композитора, благодаря которым на свет появился прекрасный опус. Вторая благодарность предназначается Александру </w:t>
      </w:r>
      <w:proofErr w:type="spellStart"/>
      <w:r w:rsidR="0039203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Зилоти</w:t>
      </w:r>
      <w:proofErr w:type="spellEnd"/>
      <w:r w:rsidR="00392033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которого</w:t>
      </w:r>
      <w:r w:rsidR="00392033"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это</w:t>
      </w:r>
      <w:r w:rsidR="0039203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произведение</w:t>
      </w:r>
      <w:r w:rsidR="00392033"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заинтересовал</w:t>
      </w:r>
      <w:r w:rsidR="0039203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</w:t>
      </w:r>
      <w:r w:rsidR="00392033"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идеей преображения: </w:t>
      </w:r>
      <w:r w:rsidR="00392033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пианист</w:t>
      </w:r>
      <w:r w:rsidR="00392033"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за фортепианной ажурной тканью видел оркестровую версию цикла. Чуть позже эта идея была удачно реализована</w:t>
      </w:r>
      <w:r w:rsidR="0039203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самим композитором. И пьесы</w:t>
      </w:r>
      <w:r w:rsidR="00392033"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9203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прозвучали в русских концертах, </w:t>
      </w:r>
      <w:r w:rsidR="00392033"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изящной симфонической </w:t>
      </w:r>
      <w:r w:rsidR="0039203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трактовке.</w:t>
      </w:r>
    </w:p>
    <w:p w14:paraId="3E22B8D8" w14:textId="2E957FA9" w:rsidR="00392033" w:rsidRPr="00FD0815" w:rsidRDefault="00392033" w:rsidP="002D5167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Одна из пьес цикла названа «Павана Спящей красавицы»</w:t>
      </w:r>
      <w:r w:rsidR="000775D2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- «чудо лирической простоты и изящества»</w:t>
      </w:r>
      <w:r w:rsidR="0007021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70217" w:rsidRPr="00070217">
        <w:rPr>
          <w:rFonts w:ascii="Times New Roman" w:hAnsi="Times New Roman" w:cs="Times New Roman"/>
          <w:kern w:val="0"/>
          <w:sz w:val="28"/>
          <w:szCs w:val="28"/>
          <w14:ligatures w14:val="none"/>
        </w:rPr>
        <w:t>[2</w:t>
      </w:r>
      <w:r w:rsidR="00070217">
        <w:rPr>
          <w:rFonts w:ascii="Times New Roman" w:hAnsi="Times New Roman" w:cs="Times New Roman"/>
          <w:kern w:val="0"/>
          <w:sz w:val="28"/>
          <w:szCs w:val="28"/>
          <w14:ligatures w14:val="none"/>
        </w:rPr>
        <w:t>;</w:t>
      </w:r>
      <w:r w:rsidR="00070217" w:rsidRPr="00070217">
        <w:rPr>
          <w:rFonts w:ascii="Times New Roman" w:hAnsi="Times New Roman" w:cs="Times New Roman"/>
          <w:kern w:val="0"/>
          <w:sz w:val="28"/>
          <w:szCs w:val="28"/>
          <w14:ligatures w14:val="none"/>
        </w:rPr>
        <w:t>92]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Образ спящей красав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ицы уже проявил себя в музыке.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Лейтмотивы из одноименного балета П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етра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Чайковского были известны и меломанам, и знатокам музыки. Но ведущий представитель музыкального импрессионизма,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Морис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Равель, мастерски претворил черты нового направления в музыке: его отношение к миру женской красоты – это легкая рябь   акварель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ных набросков, ажурно и тонко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сотканных   в изящном маленьком шедевре.  </w:t>
      </w:r>
    </w:p>
    <w:p w14:paraId="5519FA47" w14:textId="3D7DFB59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мировом литературном наследии существует несколько вариантов сказки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9203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о Спящей красавице. 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Эта история считается общеевропейской, её сюжет в различных интерпретациях рассказали сказочники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как минимум трех европейских стран. Неаполитанский пис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атель -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Джамбаттиста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Базиле -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свою красавицу назвал Талия. Его история далека о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т привычной добродушной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версии.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Существует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редакция Братьев Гримм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немецких исследователей народной культуры. И ставшая хрестоматийной версией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известная нам сказка французского теоретика искусства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Шарля Перро. </w:t>
      </w:r>
    </w:p>
    <w:p w14:paraId="60A35E64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Париже, в январе 1697 года   Ш. Перро опубликовал сборник «Сказки матушки Гусыни, или истории и сказки былых времён с поучениями», который вышел   под именем Пьера </w:t>
      </w:r>
      <w:proofErr w:type="spellStart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д'Арманкура</w:t>
      </w:r>
      <w:proofErr w:type="spellEnd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. Сборник содержал восемь историй, представлявших собой литературную обработку народных сказок. Среди них была история про девушку, которая, уколовшись веретеном, уснула на сто лет.  </w:t>
      </w:r>
    </w:p>
    <w:p w14:paraId="7669120B" w14:textId="3B7FC14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Прошло больше ста лет и в 1812 </w:t>
      </w:r>
      <w:r w:rsidRPr="00FD081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год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 вышел в печать цикл Якоба и Вильгельма Гримм «Чернильный мир и Зазеркалье», в котором сказка о Спящей красавице была названа «</w:t>
      </w:r>
      <w:proofErr w:type="spellStart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Шиповничек</w:t>
      </w:r>
      <w:proofErr w:type="spellEnd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», или другом варианте перевода «Цвет шиповника».  Возможно неслучайное совпадение - слово «зазеркалье» появляется в названии цикла братьев Гримм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куда входит сказка о красавице. Это словосочетание для немецких литераторов обладает определенной магией. Современная писательница, наследница немецких традиций Корнелия Функе, подхватив эстафету у своих предшественников, использует в названии своих циклов словосочетание «Зазеркалье» и пишет Чернильную трилогию.   </w:t>
      </w:r>
    </w:p>
    <w:p w14:paraId="37E62988" w14:textId="6E6F2555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Не единожды тема зазеркалья будет интересовать представителей искусства. Помимо самого словосочетания, техники с зеркальными приемами можно увидеть в литературе, живописи, музыке, кинематографе.  Зеркальные приемы работы с текстом отсылают и к известной сказке «Алиса в зазеркалье» английского математика и писателя Льюиса Кэрролла. Если точно перевести сказку Кэрролла, то название звучит «Сквозь зеркало, и что там нашла Алиса». Математический склад ума не мог не отразиться на литературном таланте Кэрролла: исследователи его творчества находят множество математических приемов в книге, даже выделяя такое понятие как «</w:t>
      </w:r>
      <w:proofErr w:type="spellStart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кэрроловская</w:t>
      </w:r>
      <w:proofErr w:type="spellEnd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инверсия». [1;268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].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Параллели можно провести и с музыкальной областью: фраза Белой Королевы «Просто ты не привыкла жить в обратную сторону» можно считать литературным манифестом музыкального приема полифонического письма – </w:t>
      </w:r>
      <w:proofErr w:type="spellStart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ракохода</w:t>
      </w:r>
      <w:proofErr w:type="spellEnd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(движения мелодии в обратную сторону) </w:t>
      </w:r>
      <w:bookmarkStart w:id="0" w:name="_Hlk142818998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[1;181]. </w:t>
      </w:r>
      <w:bookmarkEnd w:id="0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Есть и более прямой прием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музыке – инверсия, когда вся мелодия отражается в обратную сторону от невидимого зеркала, т.е. происходит воспроизведение мелодии с изменением направления каждого из ее интервалов.  Тема зазеркалья встречается и в кинематографе. Помимо книги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об Алисе,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существует детский фильм Александра Роу «Королевство кривых зеркал» про Олю и </w:t>
      </w:r>
      <w:proofErr w:type="spellStart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Яло</w:t>
      </w:r>
      <w:proofErr w:type="spellEnd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вышедший в 1963 году в Советском Союзе.</w:t>
      </w:r>
    </w:p>
    <w:p w14:paraId="13D411DD" w14:textId="58CD6266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Книга </w:t>
      </w:r>
      <w:r w:rsidR="00BE6C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«Алиса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</w:t>
      </w:r>
      <w:r w:rsidR="00BE6CE1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азеркалье</w:t>
      </w:r>
      <w:r w:rsidR="00BE6CE1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написана Кэрроллом в 1871 году как продолжение книги «Алиса в стране чудес». Если учесть, что Алиса засыпает в первой главе и просыпается в последней главе каждой из двух книг, то Кэррол мог бы назвать свои книги «Спящая Алиса», создав свою вариацию истории о спящих красавицах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Возможно, это умозаключение </w:t>
      </w:r>
      <w:r w:rsidR="00BE6CE1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сомнительно,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Алиса у Кэррола никакая не красавица. Но то, что она спящая – это не вызывает сомнений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[1;126,242].</w:t>
      </w:r>
    </w:p>
    <w:p w14:paraId="49BDFB64" w14:textId="5A44BC4B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Также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 оставил без внимания тему зазеркалья Равель.  Обратившись в названии цикла к хрестоматийной во Франции матушке Гусыне, композитор берет за основу   французскую версию сказки и   называет свой цикл так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же, как и Ш.</w:t>
      </w:r>
      <w:r w:rsidR="00BE6C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Перро. Эпизодами его «Спящей красавицы» (точный перевод — «Красавица в спящем лесу») навеяны первая и последняя пьесы цикла — «Павана Спящей красавицы» и «Волшебный сад».  </w:t>
      </w:r>
    </w:p>
    <w:p w14:paraId="1861F656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 В пьесе «Павана Спящей красавицы»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соединив в</w:t>
      </w:r>
      <w:r w:rsidRPr="00FD081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единое тему красоты, зазеркалья и королевства, композитор ставит перед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собой   интересную задачу - с одной стороны показать красавицу, а с другой – то, что она спит: спящую принцессу. По характеру пьеса очень хрупкая, нежная, словно сотканная из любви и ожидания счастья. Композитору удается передать «зависшее» состояние, ощущение статики, состояние сна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Все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как бы в подвешенном состоянии ожидания - то ли чуда, то ли пробуждения.  Вроде что - то происходит, и вроде остаемся на месте – «ведь нужно бежать, чтобы остаться на месте» как сказала </w:t>
      </w:r>
      <w:proofErr w:type="spellStart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кэрроловская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 по-детски мудрая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Черная Королева [1;155].  </w:t>
      </w:r>
    </w:p>
    <w:p w14:paraId="0133EDE7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Павана Равеля — это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небольшой ансамбль для двух исполнителей, и именно в таком варианте записи двух партий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становится видна интересная деталь – зеркальность изложения, инверсия. Вся пьеса основана на зеркальном развитии одного краткого, словно убаюкивающего мотива в народном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духе.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Использованный композитором музыкальный прием, заметен на расстоянии: он разделен между двумя исполнителями.  Вторая партия исполняет восходящий мотив, начинающийся со звуков </w:t>
      </w:r>
      <w:r w:rsidRPr="00FD0815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ля - до - ми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а первая партия – этот мотив зеркально отражает – и начинает со звуков </w:t>
      </w:r>
      <w:r w:rsidRPr="00FD0815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ми – ре – ля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нисходящем движении. Хотя один звук изменен: </w:t>
      </w:r>
      <w:r w:rsidRPr="00FD0815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до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заменен на </w:t>
      </w:r>
      <w:r w:rsidRPr="00FD0815">
        <w:rPr>
          <w:rFonts w:ascii="Times New Roman" w:hAnsi="Times New Roman" w:cs="Times New Roman"/>
          <w:i/>
          <w:kern w:val="0"/>
          <w:sz w:val="28"/>
          <w:szCs w:val="28"/>
          <w14:ligatures w14:val="none"/>
        </w:rPr>
        <w:t>ре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зрительно фигура сохраняется благодаря ритмической организации с использованием </w:t>
      </w:r>
      <w:proofErr w:type="spellStart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залигованной</w:t>
      </w:r>
      <w:proofErr w:type="spellEnd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ноты.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D0815">
        <w:rPr>
          <w:rFonts w:ascii="Times New Roman" w:hAnsi="Times New Roman" w:cs="Times New Roman"/>
          <w:i/>
          <w:iCs/>
          <w:kern w:val="0"/>
          <w:sz w:val="28"/>
          <w:szCs w:val="28"/>
          <w14:ligatures w14:val="none"/>
        </w:rPr>
        <w:t xml:space="preserve">  </w:t>
      </w:r>
    </w:p>
    <w:p w14:paraId="403A7449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58FECA69" wp14:editId="41A81103">
            <wp:extent cx="2181225" cy="3086100"/>
            <wp:effectExtent l="0" t="0" r="9525" b="0"/>
            <wp:docPr id="1" name="Рисунок 1" descr="C:\Users\Grigorenko\Downloads\1 рав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igorenko\Downloads\1 равель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E54C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В качестве жанровой основы композитор использует старинный танец, обозначая её в названии.  Это придворный, аристократический танец, дающий возможность показать изящество движений и манер танцующих. Данный жанр  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lastRenderedPageBreak/>
        <w:t>показывает принадлежность героини к высшему свету – перед нами девушка королевских кровей (что известно из сказки). Интересно то, что в творчестве Равеля этот жанр уже встречался именно как показатель титулованной особы – «Павана на смерть инфанты»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(т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итул инфанта носят принцессы королевских домов Испании и Португалии, не являющиеся наследницами престола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)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AE84C35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Традиционный характер этого танца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торжественно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–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величавый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 «Паване» сильно не акцентируется, ведь перед нами не статная королева, а лишь хрупкая девушка, хотя и принцесса. Танец двухдольный, спокойный, по характеру пьеса напоминает колыбельную.   Можно сказать, что у композитора тонко соединились черты двух жанров - колыбельной и паваны: ведь принцесса спит.</w:t>
      </w:r>
    </w:p>
    <w:p w14:paraId="5CC05E8D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В танцевальной музыке существует еще один придворный танец, который по своим характеристикам похож на павану – это менуэт – танец королей.  Но для Равеля это было бы не оригинально. И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кроме того, паван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а отсылает на несколько веков в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глубь истории, подчеркивая столетний сон принцессы. </w:t>
      </w:r>
      <w:r w:rsidRPr="00FD081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5AF82422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Можно упомянуть еще одну интересную особенность этого жанра: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раньше под музыку паваны провожали знатную невесту в церковь. Возможно, ком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позитор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предвосхищает продолжение сюжета, поясняя слушателям чем закончится история.  </w:t>
      </w:r>
    </w:p>
    <w:p w14:paraId="7C8F0F2E" w14:textId="6410FEC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Так, М.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  <w:r w:rsidRPr="00FD081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Равель в изящной и почти прозрачной миниатюре, благодаря памяти, заключенной в двух жанрах и использованных приемах полифонического письма смог создать удивительно ёмкую вещь, насыщенную бликами магии</w:t>
      </w:r>
      <w:r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зазеркалья</w:t>
      </w:r>
      <w:r w:rsidRPr="00FD081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.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Французский импрессионист, показывая красоту женского образа через аристократизм и спокойствие, смог создать утонченную хрупкую красавицу в тонкой дымке нереальности. Где о</w:t>
      </w:r>
      <w:r w:rsidRPr="00FD081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>щущение присутствия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незримого волшебства проявляется через жанровые черты танца, связанного с атмосферой королевства и торжества. При этом приглушенность ля минора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двудольность</w:t>
      </w:r>
      <w:proofErr w:type="spellEnd"/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метра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 при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да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ет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небольшую статику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ощущение покачивания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и 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убаюкивания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А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журная вязь напева колыбельной наполняет мягким умиротворением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, убеждая в незыблемости бытия мироздания и д</w:t>
      </w:r>
      <w:r w:rsidR="00351DA9">
        <w:rPr>
          <w:rFonts w:ascii="Times New Roman" w:hAnsi="Times New Roman" w:cs="Times New Roman"/>
          <w:kern w:val="0"/>
          <w:sz w:val="28"/>
          <w:szCs w:val="28"/>
          <w14:ligatures w14:val="none"/>
        </w:rPr>
        <w:t>авая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уверенное спокойствие перед будущим.</w:t>
      </w:r>
      <w:r w:rsidR="001C29D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gramStart"/>
      <w:r w:rsidR="001C29D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Для </w:t>
      </w:r>
      <w:r w:rsidR="00351DA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тонко</w:t>
      </w:r>
      <w:proofErr w:type="gramEnd"/>
      <w:r w:rsidR="00351DA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воспринимающего действительность </w:t>
      </w:r>
      <w:r w:rsidR="001C29D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Равеля на остром изломе рубежа веков «ясность мира детских образов </w:t>
      </w:r>
      <w:r w:rsidR="00B60B70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была</w:t>
      </w:r>
      <w:r w:rsidR="001C29D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твердой моральной опорой»</w:t>
      </w:r>
      <w:r w:rsidR="00C80A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80AE1" w:rsidRPr="00C80AE1">
        <w:rPr>
          <w:rFonts w:ascii="Times New Roman" w:hAnsi="Times New Roman" w:cs="Times New Roman"/>
          <w:kern w:val="0"/>
          <w:sz w:val="28"/>
          <w:szCs w:val="28"/>
          <w14:ligatures w14:val="none"/>
        </w:rPr>
        <w:t>[</w:t>
      </w:r>
      <w:r w:rsidR="00C80AE1">
        <w:rPr>
          <w:rFonts w:ascii="Times New Roman" w:hAnsi="Times New Roman" w:cs="Times New Roman"/>
          <w:kern w:val="0"/>
          <w:sz w:val="28"/>
          <w:szCs w:val="28"/>
          <w14:ligatures w14:val="none"/>
        </w:rPr>
        <w:t>3;86</w:t>
      </w:r>
      <w:r w:rsidR="00C80AE1" w:rsidRPr="00C80AE1">
        <w:rPr>
          <w:rFonts w:ascii="Times New Roman" w:hAnsi="Times New Roman" w:cs="Times New Roman"/>
          <w:kern w:val="0"/>
          <w:sz w:val="28"/>
          <w:szCs w:val="28"/>
          <w14:ligatures w14:val="none"/>
        </w:rPr>
        <w:t>]</w:t>
      </w:r>
      <w:r w:rsidR="001C29D7">
        <w:rPr>
          <w:rFonts w:ascii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74647F5" w14:textId="77777777" w:rsidR="00392033" w:rsidRPr="00FD0815" w:rsidRDefault="00392033" w:rsidP="003920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bCs/>
          <w:kern w:val="0"/>
          <w:sz w:val="28"/>
          <w:szCs w:val="28"/>
          <w14:ligatures w14:val="none"/>
        </w:rPr>
        <w:t xml:space="preserve"> </w:t>
      </w:r>
    </w:p>
    <w:p w14:paraId="7E43395F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</w:p>
    <w:p w14:paraId="73FCFAA1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Список литературы</w:t>
      </w:r>
    </w:p>
    <w:p w14:paraId="4B27DBE9" w14:textId="26785DFB" w:rsidR="00392033" w:rsidRDefault="00392033" w:rsidP="00070217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1.Кэррол Льюис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Приключения Алисы в стране чудес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. Сквозь зеркало и что там увидела Алиса, или Алиса в зазеркалье. Вагриус 2002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. П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еревод </w:t>
      </w:r>
      <w:proofErr w:type="spellStart"/>
      <w:r w:rsidR="008B59C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</w:t>
      </w:r>
      <w:r w:rsidRPr="00FD081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емуровой</w:t>
      </w:r>
      <w:proofErr w:type="spellEnd"/>
      <w:r w:rsidR="008B59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Н.М. </w:t>
      </w:r>
      <w:r w:rsidR="00070217">
        <w:rPr>
          <w:rFonts w:ascii="Times New Roman" w:hAnsi="Times New Roman" w:cs="Times New Roman"/>
          <w:kern w:val="0"/>
          <w:sz w:val="28"/>
          <w:szCs w:val="28"/>
          <w14:ligatures w14:val="none"/>
        </w:rPr>
        <w:t>- 352</w:t>
      </w:r>
      <w:r w:rsidR="008B59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с. </w:t>
      </w:r>
      <w:r w:rsidR="00070217">
        <w:rPr>
          <w:rFonts w:ascii="Times New Roman" w:hAnsi="Times New Roman" w:cs="Times New Roman"/>
          <w:kern w:val="0"/>
          <w:sz w:val="28"/>
          <w:szCs w:val="28"/>
          <w14:ligatures w14:val="none"/>
        </w:rPr>
        <w:br/>
        <w:t>2.</w:t>
      </w:r>
      <w:r w:rsidR="008B59C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070217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Мартынов И. Морис Равель, М.: </w:t>
      </w:r>
      <w:r w:rsidR="00B60B70">
        <w:rPr>
          <w:rFonts w:ascii="Times New Roman" w:hAnsi="Times New Roman" w:cs="Times New Roman"/>
          <w:kern w:val="0"/>
          <w:sz w:val="28"/>
          <w:szCs w:val="28"/>
          <w14:ligatures w14:val="none"/>
        </w:rPr>
        <w:t>«</w:t>
      </w:r>
      <w:r w:rsidR="00070217">
        <w:rPr>
          <w:rFonts w:ascii="Times New Roman" w:hAnsi="Times New Roman" w:cs="Times New Roman"/>
          <w:kern w:val="0"/>
          <w:sz w:val="28"/>
          <w:szCs w:val="28"/>
          <w14:ligatures w14:val="none"/>
        </w:rPr>
        <w:t>Музыка</w:t>
      </w:r>
      <w:r w:rsidR="00B60B70">
        <w:rPr>
          <w:rFonts w:ascii="Times New Roman" w:hAnsi="Times New Roman" w:cs="Times New Roman"/>
          <w:kern w:val="0"/>
          <w:sz w:val="28"/>
          <w:szCs w:val="28"/>
          <w14:ligatures w14:val="none"/>
        </w:rPr>
        <w:t>»</w:t>
      </w:r>
      <w:r w:rsidR="00070217">
        <w:rPr>
          <w:rFonts w:ascii="Times New Roman" w:hAnsi="Times New Roman" w:cs="Times New Roman"/>
          <w:kern w:val="0"/>
          <w:sz w:val="28"/>
          <w:szCs w:val="28"/>
          <w14:ligatures w14:val="none"/>
        </w:rPr>
        <w:t>, 1979 – 336 с.</w:t>
      </w:r>
    </w:p>
    <w:p w14:paraId="580FC0DA" w14:textId="30F1F5A3" w:rsidR="001C29D7" w:rsidRPr="00FD0815" w:rsidRDefault="001C29D7" w:rsidP="00070217">
      <w:pPr>
        <w:spacing w:after="0" w:line="240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3. Смирнов В. Морис Равель и его творчество</w:t>
      </w:r>
      <w:r w:rsidR="00C80A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r w:rsidR="00B60B70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Ленинград «Музыка», </w:t>
      </w:r>
      <w:r w:rsidR="00C80AE1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1981 – 225 с. </w:t>
      </w:r>
    </w:p>
    <w:p w14:paraId="532C695D" w14:textId="77777777" w:rsidR="00392033" w:rsidRPr="00FD0815" w:rsidRDefault="00392033" w:rsidP="00392033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9D2E7F4" w14:textId="77777777" w:rsidR="00392033" w:rsidRPr="00FD0815" w:rsidRDefault="00392033" w:rsidP="0039203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39A09F8F" w14:textId="000761CA" w:rsidR="00392033" w:rsidRPr="00FD0815" w:rsidRDefault="00070217" w:rsidP="00392033">
      <w:pPr>
        <w:spacing w:after="0" w:line="240" w:lineRule="auto"/>
        <w:rPr>
          <w:sz w:val="28"/>
          <w:szCs w:val="28"/>
        </w:rPr>
      </w:pPr>
      <w:bookmarkStart w:id="1" w:name="_Hlk178272188"/>
      <w:r>
        <w:rPr>
          <w:rFonts w:ascii="Times New Roman" w:hAnsi="Times New Roman" w:cs="Times New Roman"/>
          <w:color w:val="ED7D31" w:themeColor="accent2"/>
          <w:kern w:val="0"/>
          <w:sz w:val="28"/>
          <w:szCs w:val="28"/>
          <w14:ligatures w14:val="none"/>
        </w:rPr>
        <w:t xml:space="preserve"> </w:t>
      </w:r>
    </w:p>
    <w:bookmarkEnd w:id="1"/>
    <w:p w14:paraId="6215FC53" w14:textId="77777777" w:rsidR="00392033" w:rsidRPr="00FD0815" w:rsidRDefault="00392033" w:rsidP="00392033">
      <w:pPr>
        <w:spacing w:after="0" w:line="240" w:lineRule="auto"/>
        <w:rPr>
          <w:sz w:val="28"/>
          <w:szCs w:val="28"/>
        </w:rPr>
      </w:pPr>
    </w:p>
    <w:p w14:paraId="007DF205" w14:textId="77777777" w:rsidR="00392033" w:rsidRPr="00FD0815" w:rsidRDefault="00392033" w:rsidP="00392033">
      <w:pPr>
        <w:spacing w:after="0" w:line="240" w:lineRule="auto"/>
        <w:rPr>
          <w:sz w:val="28"/>
          <w:szCs w:val="28"/>
        </w:rPr>
      </w:pPr>
    </w:p>
    <w:p w14:paraId="7ABA5293" w14:textId="77777777" w:rsidR="00392033" w:rsidRPr="00FD0815" w:rsidRDefault="00392033" w:rsidP="00392033">
      <w:pPr>
        <w:spacing w:after="0" w:line="240" w:lineRule="auto"/>
        <w:rPr>
          <w:sz w:val="28"/>
          <w:szCs w:val="28"/>
        </w:rPr>
      </w:pPr>
    </w:p>
    <w:p w14:paraId="5A9A4AF6" w14:textId="77777777" w:rsidR="00B57856" w:rsidRDefault="00B57856"/>
    <w:sectPr w:rsidR="00B5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56"/>
    <w:rsid w:val="00063E0E"/>
    <w:rsid w:val="00070217"/>
    <w:rsid w:val="000775D2"/>
    <w:rsid w:val="001C29D7"/>
    <w:rsid w:val="00211E49"/>
    <w:rsid w:val="00240E36"/>
    <w:rsid w:val="002D1729"/>
    <w:rsid w:val="002D5167"/>
    <w:rsid w:val="00351DA9"/>
    <w:rsid w:val="00392033"/>
    <w:rsid w:val="004E6ACD"/>
    <w:rsid w:val="00512906"/>
    <w:rsid w:val="008B15FA"/>
    <w:rsid w:val="008B2F2A"/>
    <w:rsid w:val="008B59C7"/>
    <w:rsid w:val="00904047"/>
    <w:rsid w:val="00911AB1"/>
    <w:rsid w:val="00B50004"/>
    <w:rsid w:val="00B57856"/>
    <w:rsid w:val="00B60B70"/>
    <w:rsid w:val="00BE6CE1"/>
    <w:rsid w:val="00C80AE1"/>
    <w:rsid w:val="00E2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973F"/>
  <w15:chartTrackingRefBased/>
  <w15:docId w15:val="{5B02B8CF-8895-4114-ADB4-210423EE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григоренко</dc:creator>
  <cp:keywords/>
  <dc:description/>
  <cp:lastModifiedBy>инна григоренко</cp:lastModifiedBy>
  <cp:revision>8</cp:revision>
  <dcterms:created xsi:type="dcterms:W3CDTF">2024-09-26T14:18:00Z</dcterms:created>
  <dcterms:modified xsi:type="dcterms:W3CDTF">2024-09-28T04:00:00Z</dcterms:modified>
</cp:coreProperties>
</file>