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Муниципальное </w:t>
      </w:r>
      <w:r>
        <w:rPr>
          <w:b/>
          <w:bCs/>
          <w:sz w:val="40"/>
          <w:szCs w:val="40"/>
        </w:rPr>
        <w:t xml:space="preserve">автономное </w:t>
      </w:r>
      <w:r>
        <w:rPr>
          <w:b/>
          <w:bCs/>
          <w:sz w:val="40"/>
          <w:szCs w:val="40"/>
        </w:rPr>
        <w:t xml:space="preserve">учреждение дополнительного образования </w:t>
      </w:r>
      <w:r/>
    </w:p>
    <w:p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Д</w:t>
      </w:r>
      <w:r>
        <w:rPr>
          <w:b/>
          <w:bCs/>
          <w:sz w:val="40"/>
          <w:szCs w:val="40"/>
        </w:rPr>
        <w:t xml:space="preserve">етская школа искусств г.Лабытнанги</w:t>
      </w:r>
      <w:r>
        <w:rPr>
          <w:b/>
          <w:bCs/>
          <w:sz w:val="40"/>
          <w:szCs w:val="40"/>
        </w:rPr>
        <w:t xml:space="preserve"> </w:t>
      </w:r>
      <w:r/>
    </w:p>
    <w:p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  <w:r/>
    </w:p>
    <w:p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Методический доклад на тему:</w:t>
      </w:r>
      <w:r/>
    </w:p>
    <w:p>
      <w:pPr>
        <w:jc w:val="center"/>
        <w:spacing w:lineRule="auto" w:line="24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«Работа с ансамблем в скрипичном классе</w:t>
      </w:r>
      <w:r/>
      <w:r>
        <w:rPr>
          <w:b/>
          <w:bCs/>
          <w:sz w:val="36"/>
          <w:szCs w:val="36"/>
        </w:rPr>
        <w:t xml:space="preserve"> ДШИ»</w:t>
      </w:r>
      <w:r/>
    </w:p>
    <w:p>
      <w:r/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</w:t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</w:t>
      </w:r>
      <w:r>
        <w:rPr>
          <w:b/>
          <w:bCs/>
          <w:sz w:val="28"/>
          <w:szCs w:val="28"/>
        </w:rPr>
        <w:t xml:space="preserve">Подготовила:</w:t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 xml:space="preserve">Борисова Ираида Федоровна</w:t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преподаватель по классу скрипки</w:t>
      </w:r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2025</w:t>
      </w:r>
      <w:r>
        <w:rPr>
          <w:b/>
          <w:bCs/>
          <w:sz w:val="36"/>
          <w:szCs w:val="36"/>
        </w:rPr>
        <w:t xml:space="preserve"> г.</w:t>
      </w:r>
      <w:r/>
    </w:p>
    <w:p>
      <w:pPr>
        <w:ind w:firstLine="709"/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Ансамблевое музицирование - очень важный аспект для музыкально – художественного развития ученика в обучении в ДШИ. Это одна из самых эффективных форм профессиональной подготовки музыканта. Не случайно, начиная с шестидесятых годов прошлого столетия</w:t>
      </w:r>
      <w:r>
        <w:rPr>
          <w:rFonts w:ascii="Times New Roman" w:hAnsi="Times New Roman" w:cs="Times New Roman"/>
          <w:sz w:val="28"/>
          <w:szCs w:val="28"/>
        </w:rPr>
        <w:t xml:space="preserve">, когда по всей стране начали открываться детские музыкальные школы, и по сей день наблюдается возрастание интереса к ансамблевому исполнительству, разработке вопросов ансамблевой педагогики, касающейся различных ступеней системы музыкального образования. </w:t>
      </w:r>
      <w:r/>
    </w:p>
    <w:p>
      <w:pPr>
        <w:ind w:firstLine="709"/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Начальное обучение в скрипичном классе осуществляется обычно в довольно сложных психолого-педагогических условиях. Ребенок, пришедший обучаться на скрипке, вынужден мириться с очень скучной работой - воспроизведением звук</w:t>
      </w:r>
      <w:r>
        <w:rPr>
          <w:rFonts w:ascii="Times New Roman" w:hAnsi="Times New Roman" w:cs="Times New Roman"/>
          <w:sz w:val="28"/>
          <w:szCs w:val="28"/>
        </w:rPr>
        <w:t xml:space="preserve">ов на открытых струнах, игрой щипком, изучением нот, длительностей и т.д. Однако между существующей методикой начального обучения и музыкальными потребностями ученика можно найти компромиссное решение, которое называется коллективное музицирование. Объедин</w:t>
      </w:r>
      <w:r>
        <w:rPr>
          <w:rFonts w:ascii="Times New Roman" w:hAnsi="Times New Roman" w:cs="Times New Roman"/>
          <w:sz w:val="28"/>
          <w:szCs w:val="28"/>
        </w:rPr>
        <w:t xml:space="preserve">яя детей в ансамбль, эта форма работы дает возможность привить интерес маленьких скрипачей к коллективному исполнительству. Занятиям ансамблем необходимо уделять особое внимание с самого первого года обучения. Важно на индивидуальном уроке с первых шагов в</w:t>
      </w:r>
      <w:r>
        <w:rPr>
          <w:rFonts w:ascii="Times New Roman" w:hAnsi="Times New Roman" w:cs="Times New Roman"/>
          <w:sz w:val="28"/>
          <w:szCs w:val="28"/>
        </w:rPr>
        <w:t xml:space="preserve">ключать в занятия с учеником его совместную игру с педагогом. В этом случае обучение элементарным навыкам игры в ансамбле проходит более эффективно. Хорошо начинать занятия с исполнения простых песенок на открытых струнах, например, из сборника В. Якубовск</w:t>
      </w:r>
      <w:r>
        <w:rPr>
          <w:rFonts w:ascii="Times New Roman" w:hAnsi="Times New Roman" w:cs="Times New Roman"/>
          <w:sz w:val="28"/>
          <w:szCs w:val="28"/>
        </w:rPr>
        <w:t xml:space="preserve">ой. Таким образом, с первых уроков в классе ансамбля одновременно с разучиванием своей партии ученик получает конкретное представление об одном из важнейших условий ансамблевой игры – синхронности исполнения, единстве ритмического пульса, темпа. На этих пр</w:t>
      </w:r>
      <w:r>
        <w:rPr>
          <w:rFonts w:ascii="Times New Roman" w:hAnsi="Times New Roman" w:cs="Times New Roman"/>
          <w:sz w:val="28"/>
          <w:szCs w:val="28"/>
        </w:rPr>
        <w:t xml:space="preserve">остых примерах усваивается также роль и значение паузы в музыкальном тексте. Игра в ансамбле учит осмысленному и бережному обращению к большим длительностям и паузам, с помощью которых ученик начинает понимать необходимость дослушивать конец фразы, дожидая</w:t>
      </w:r>
      <w:r>
        <w:rPr>
          <w:rFonts w:ascii="Times New Roman" w:hAnsi="Times New Roman" w:cs="Times New Roman"/>
          <w:sz w:val="28"/>
          <w:szCs w:val="28"/>
        </w:rPr>
        <w:t xml:space="preserve">сь своей очереди исполнения. Очень важно, чтобы в паузах и на длинных нотах не прерывалась музыкальная мысль, чтобы это не воспринималось, как остановка, а пауза воспринималась как равноправный элемент нотного текста, обретала смысл, музыкальное значение. </w:t>
      </w:r>
      <w:r/>
    </w:p>
    <w:p>
      <w:pPr>
        <w:ind w:firstLine="709"/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Довольно часто для окрашивания звучания используется исполнительский прием постукивания древком смычка по корпусу скрипки. У учеников еще больше повышается интерес к зан</w:t>
      </w:r>
      <w:r>
        <w:rPr>
          <w:rFonts w:ascii="Times New Roman" w:hAnsi="Times New Roman" w:cs="Times New Roman"/>
          <w:sz w:val="28"/>
          <w:szCs w:val="28"/>
        </w:rPr>
        <w:t xml:space="preserve">ятиям, если в состав ансамбля вводится группа таких ударных инструментов как: бубен, треугольник, коробочка, брусок, маракасы, погремушки, реко-реко и другие. Это открывает большие перспективы в обогащении звучания струнно-смычковых ансамблей и значительно</w:t>
      </w:r>
      <w:r>
        <w:rPr>
          <w:rFonts w:ascii="Times New Roman" w:hAnsi="Times New Roman" w:cs="Times New Roman"/>
          <w:sz w:val="28"/>
          <w:szCs w:val="28"/>
        </w:rPr>
        <w:t xml:space="preserve"> увеличивает диапазон их выразительных возможностей. Хорошо поручать партии ударных инструментов учащимся младших классов, т.к. с одной стороны ребенок развивается, а с другой на выполнение этих задач не отвлекаются основные исполнительские силы ансамбля. </w:t>
      </w:r>
      <w:r/>
    </w:p>
    <w:p>
      <w:pPr>
        <w:ind w:firstLine="709"/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произведениях для ученических ансамблей довольно широко используются традиционные штриховые средства. Детям нравится </w:t>
      </w:r>
      <w:r>
        <w:rPr>
          <w:rFonts w:ascii="Times New Roman" w:hAnsi="Times New Roman" w:cs="Times New Roman"/>
          <w:sz w:val="28"/>
          <w:szCs w:val="28"/>
        </w:rPr>
        <w:t xml:space="preserve">играть «пиццикато» в групповом исполнении, но добиться качественного и одновременного звучания этого штриха в исполнении группы учащихся очень непросто. Помочь в этом может освоение навыка отрыва пальца правой руки от струны в последний момент перед наступ</w:t>
      </w:r>
      <w:r>
        <w:rPr>
          <w:rFonts w:ascii="Times New Roman" w:hAnsi="Times New Roman" w:cs="Times New Roman"/>
          <w:sz w:val="28"/>
          <w:szCs w:val="28"/>
        </w:rPr>
        <w:t xml:space="preserve">лением звучания ноты. Ритмической точности еще помогает равный, единовременный замах правой руки перед взятием отдельной ноты или аккорда. Нужно учитывать и то, что при игре на «форте», «пиццикато» играется без закрепления большого пальца на грифе, с довол</w:t>
      </w:r>
      <w:r>
        <w:rPr>
          <w:rFonts w:ascii="Times New Roman" w:hAnsi="Times New Roman" w:cs="Times New Roman"/>
          <w:sz w:val="28"/>
          <w:szCs w:val="28"/>
        </w:rPr>
        <w:t xml:space="preserve">ьно глубоким захватом струны, а на «пиано» наоборот синхронность при игре «пиццикато» легче достигается, если большой палец закреплен на грифе, а указательный палец только прикасается к струне сверху. На качество исполнения влияет и тот фактор, что дети ча</w:t>
      </w:r>
      <w:r>
        <w:rPr>
          <w:rFonts w:ascii="Times New Roman" w:hAnsi="Times New Roman" w:cs="Times New Roman"/>
          <w:sz w:val="28"/>
          <w:szCs w:val="28"/>
        </w:rPr>
        <w:t xml:space="preserve">сто забывают вибрировать «пиццикато». В ансамблевой литературе довольно часто встречается штрих «мартле», при игре которого возникают такие сложности, как исполнение его в верхней части смычка. Для этого необходимо играть гаммы этим штрихом разными частями</w:t>
      </w:r>
      <w:r>
        <w:rPr>
          <w:rFonts w:ascii="Times New Roman" w:hAnsi="Times New Roman" w:cs="Times New Roman"/>
          <w:sz w:val="28"/>
          <w:szCs w:val="28"/>
        </w:rPr>
        <w:t xml:space="preserve"> смычка, что полезно и для воспитания навыков синхронного исполнения в ансамбле. В групповом исполнении штриха «мартле», большое значение имеют одновременность активного начала звука, одинаковое выполнение паузы между звуками и четкая остановка по окончани</w:t>
      </w:r>
      <w:r>
        <w:rPr>
          <w:rFonts w:ascii="Times New Roman" w:hAnsi="Times New Roman" w:cs="Times New Roman"/>
          <w:sz w:val="28"/>
          <w:szCs w:val="28"/>
        </w:rPr>
        <w:t xml:space="preserve">и отзвучавшей ноты. Для восприятия навыка координированного группового исполнения штрихов, надо приучать учащимся ощущать точки совпадения импульса правой и левой рук. Хорошими упражнениями являются последовательности, или гаммы, например, нижней половиной</w:t>
      </w:r>
      <w:r>
        <w:rPr>
          <w:rFonts w:ascii="Times New Roman" w:hAnsi="Times New Roman" w:cs="Times New Roman"/>
          <w:sz w:val="28"/>
          <w:szCs w:val="28"/>
        </w:rPr>
        <w:t xml:space="preserve"> смычка с переносом каждой ноты вниз смычком, или, верхней части смычка с переносом вверх смычком. Для приобретения синхронности ансамблевого исполнения необходима тренировка в штрихах с изменением метрической сетки и направления смычка (упр. №1 и №8 К. Мост</w:t>
      </w:r>
      <w:r>
        <w:rPr>
          <w:rFonts w:ascii="Times New Roman" w:hAnsi="Times New Roman" w:cs="Times New Roman"/>
          <w:sz w:val="28"/>
          <w:szCs w:val="28"/>
        </w:rPr>
        <w:t xml:space="preserve">рас). Как правило, штрихи, в которых сильная доля исполняется то вверх, то вниз смычком является немалой трудностью для учащихся. Одним из наиболее эффективных способов воспитания навыков совместного исполнения в ансамбле является изучение упражнений пункт</w:t>
      </w:r>
      <w:r>
        <w:rPr>
          <w:rFonts w:ascii="Times New Roman" w:hAnsi="Times New Roman" w:cs="Times New Roman"/>
          <w:sz w:val="28"/>
          <w:szCs w:val="28"/>
        </w:rPr>
        <w:t xml:space="preserve">ирным ритмом различными штрихами, где следует направить внимание учащихся на тщательное распределение скорости смычка и достижения качественного звукоизвлечения. Часто в произведениях для ансамбля встречаются разнообразные варианты комбинированных штрихов.</w:t>
      </w:r>
      <w:r>
        <w:rPr>
          <w:rFonts w:ascii="Times New Roman" w:hAnsi="Times New Roman" w:cs="Times New Roman"/>
          <w:sz w:val="28"/>
          <w:szCs w:val="28"/>
        </w:rPr>
        <w:t xml:space="preserve"> Педагог может составить их, исходя из задач конкретного художественного произведения. Хочется подчеркнуть, что педагог должен обращать внимание учащихся не только на технику левой руки, но и добиваться тщательной координации игровых движений обеих рук. Ос</w:t>
      </w:r>
      <w:r>
        <w:rPr>
          <w:rFonts w:ascii="Times New Roman" w:hAnsi="Times New Roman" w:cs="Times New Roman"/>
          <w:sz w:val="28"/>
          <w:szCs w:val="28"/>
        </w:rPr>
        <w:t xml:space="preserve">обое внимание нужно уделять точному выполнению штрихов. Каждое отклонение от общих штрихов нарушает целостность и эстетичность вербального восприятия, наносит ущерб выразительности исполнения, так как штрихи несут большую динамическую и смысловую нагрузку.</w:t>
      </w:r>
      <w:r/>
    </w:p>
    <w:p>
      <w:pPr>
        <w:ind w:firstLine="709"/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совместном музицировании важным фактором является слуховой контроль. На уроках ансамбля дети учатся слышать себя, своих</w:t>
      </w:r>
      <w:r>
        <w:rPr>
          <w:rFonts w:ascii="Times New Roman" w:hAnsi="Times New Roman" w:cs="Times New Roman"/>
          <w:sz w:val="28"/>
          <w:szCs w:val="28"/>
        </w:rPr>
        <w:t xml:space="preserve"> партнеров, звучание ансамбля в целом, что обеспечивает более ясное понимание интонационных возможностей струнного инструмента. Отсутствие фиксированной высоты звука создает дополнительные трудности в игре, но позволяет довести мелодическое и гармоническое</w:t>
      </w:r>
      <w:r>
        <w:rPr>
          <w:rFonts w:ascii="Times New Roman" w:hAnsi="Times New Roman" w:cs="Times New Roman"/>
          <w:sz w:val="28"/>
          <w:szCs w:val="28"/>
        </w:rPr>
        <w:t xml:space="preserve"> интонирование до крайней точности и остроты. Добиваясь чистоты интонации, педагог как бы незаметно подводит ученика к пониманию необходимости особенно точного интонирования при игре на скрипке. Для приобретения слуховых навыков большую пользу принесет исп</w:t>
      </w:r>
      <w:r>
        <w:rPr>
          <w:rFonts w:ascii="Times New Roman" w:hAnsi="Times New Roman" w:cs="Times New Roman"/>
          <w:sz w:val="28"/>
          <w:szCs w:val="28"/>
        </w:rPr>
        <w:t xml:space="preserve">олнение произведений в унисон. На начальном этапе это могут быть однооктавные гаммы, которые можно исполнять в дальнейшем в терцию. П.С. Столярский - выдающийся отечественный педагог - был одним из первых, кто в своей практике использовал унисон скрипачей.</w:t>
      </w:r>
      <w:r/>
    </w:p>
    <w:p>
      <w:pPr>
        <w:ind w:firstLine="709"/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ведущих принципов ансамблевого испол</w:t>
      </w:r>
      <w:r>
        <w:rPr>
          <w:rFonts w:ascii="Times New Roman" w:hAnsi="Times New Roman" w:cs="Times New Roman"/>
          <w:sz w:val="28"/>
          <w:szCs w:val="28"/>
        </w:rPr>
        <w:t xml:space="preserve">нительства является согласованное выполнение динамической линии всеми исполнителями. Берлиоз сказал однажды: «Скрипка способна к множеству явно противоположных оттенков экспрессии. Она обладает силой, легкостью и грацией, передает мрачное и радостное настр</w:t>
      </w:r>
      <w:r>
        <w:rPr>
          <w:rFonts w:ascii="Times New Roman" w:hAnsi="Times New Roman" w:cs="Times New Roman"/>
          <w:sz w:val="28"/>
          <w:szCs w:val="28"/>
        </w:rPr>
        <w:t xml:space="preserve">оение, мысль и страсть. Надо только уметь заставить ее говорить». Динамика помогает лучше выявить гибкость и красочность звучания ансамбля. Важность точного соблюдения каждым участником ансамбля динамических требований должна быть осознанна учениками с пер</w:t>
      </w:r>
      <w:r>
        <w:rPr>
          <w:rFonts w:ascii="Times New Roman" w:hAnsi="Times New Roman" w:cs="Times New Roman"/>
          <w:sz w:val="28"/>
          <w:szCs w:val="28"/>
        </w:rPr>
        <w:t xml:space="preserve">вых уроков. Особенную трудность представляет исполнение динамических указаний в нюансе «пиано», бережное отношение к которому является сложной задачей в области воспитания культуры музицирования. Нередко нюансы становятся причиной изменения темпов («форте»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быстрее, «пиано»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медленнее, «крещендо»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ускоряя, «диминуэндо»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замедляя). На это нужно обращать внимание с первых занятий, так как в дальнейшем они преодолеваются с трудом.</w:t>
      </w:r>
      <w:r/>
    </w:p>
    <w:p>
      <w:pPr>
        <w:ind w:firstLine="709"/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Немаловажной задачей для гармоничного звучания ансамбля является рациональная и эстетическая расстановка учащихся на сцене. Расстановка в ансамбле зависит от количества играющих и величины сцены. Если скрипачей 10-12 человек, то распределить их лу</w:t>
      </w:r>
      <w:r>
        <w:rPr>
          <w:rFonts w:ascii="Times New Roman" w:hAnsi="Times New Roman" w:cs="Times New Roman"/>
          <w:sz w:val="28"/>
          <w:szCs w:val="28"/>
        </w:rPr>
        <w:t xml:space="preserve">чше полукругом в один ряд, а если больше, то в шахматном порядке. Каждый педагог, исходя из существующих критериев расстановки участников, может использовать и другие. Для каждой группы голосов выбирается концертмейстер. Обычно это один из лучших учеников,</w:t>
      </w:r>
      <w:r>
        <w:rPr>
          <w:rFonts w:ascii="Times New Roman" w:hAnsi="Times New Roman" w:cs="Times New Roman"/>
          <w:sz w:val="28"/>
          <w:szCs w:val="28"/>
        </w:rPr>
        <w:t xml:space="preserve"> который имеет хорошее чувство ритма, может, подобно дирижеру оркестра, уверенно показывать вступления и быть хорошо виден каждому участнику группы. В репетиционных занятиях концертмейстер должен помогать педагогу в разучивании и изучению нотного текста.  </w:t>
      </w:r>
      <w:r/>
    </w:p>
    <w:p>
      <w:pPr>
        <w:ind w:firstLine="709"/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Публичное выступление – важный фактор создания в классе атмосферы совместного творчества, когда вопросы развития индивидуальных исполнительских качеств учащихся и вопросы становления коллектива решаютс</w:t>
      </w:r>
      <w:r>
        <w:rPr>
          <w:rFonts w:ascii="Times New Roman" w:hAnsi="Times New Roman" w:cs="Times New Roman"/>
          <w:sz w:val="28"/>
          <w:szCs w:val="28"/>
        </w:rPr>
        <w:t xml:space="preserve">я параллельно. Такая направленность учебной работы ансамбля оказывает большое влияние и на формирование личностных качеств учащихся: организованности, ответственности за выполнение общей работы, уверенности в своих силах. Практика показывает, что ориентаци</w:t>
      </w:r>
      <w:r>
        <w:rPr>
          <w:rFonts w:ascii="Times New Roman" w:hAnsi="Times New Roman" w:cs="Times New Roman"/>
          <w:sz w:val="28"/>
          <w:szCs w:val="28"/>
        </w:rPr>
        <w:t xml:space="preserve">я школьного ансамбля на посильную исполнительскую деятельность заметно повышает интерес учащихся к занятиям. В процессе занятий и концертных выступлений ансамбля складывается и его индивидуальная исполнительская манера. Подготовка ансамбля к публичному выс</w:t>
      </w:r>
      <w:r>
        <w:rPr>
          <w:rFonts w:ascii="Times New Roman" w:hAnsi="Times New Roman" w:cs="Times New Roman"/>
          <w:sz w:val="28"/>
          <w:szCs w:val="28"/>
        </w:rPr>
        <w:t xml:space="preserve">туплению для педагога начинается с выбора музыкального репертуара, составляя который, педагог должен предусмотреть возможность публичных выступлений, их тематическую направленность, сроки проведения. И, если в концерте для родителей могут исполняться любые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произведения, то гораздо более серьезным испытанием будет выступление на отчетном концерте школы, или, тем более, выступление на сольном концерте. Кантиленные пьесы хорошо чередовать с пьесами танцевального или виртуозного характера. Это будет хорошо конт</w:t>
      </w:r>
      <w:r>
        <w:rPr>
          <w:rFonts w:ascii="Times New Roman" w:hAnsi="Times New Roman" w:cs="Times New Roman"/>
          <w:sz w:val="28"/>
          <w:szCs w:val="28"/>
        </w:rPr>
        <w:t xml:space="preserve">растировать и придаст программе выступления композиционную стройность. Кроме участия в школьных мероприятиях, учащимся зачастую приходится выступать в шефских концертах, вне стен своей школы. Непривычные сценические условия увеличивают сложность выступлени</w:t>
      </w:r>
      <w:r>
        <w:rPr>
          <w:rFonts w:ascii="Times New Roman" w:hAnsi="Times New Roman" w:cs="Times New Roman"/>
          <w:sz w:val="28"/>
          <w:szCs w:val="28"/>
        </w:rPr>
        <w:t xml:space="preserve">я и требуют значительно более высокого уровня психологической и исполнительской подготовки учащихся. Ввиду того, что далеко не на всех эстрадных площадках можно найти сопровождающий в выступлениях ансамбля такой инструмент, как фортепиано, то можно попробо</w:t>
      </w:r>
      <w:r>
        <w:rPr>
          <w:rFonts w:ascii="Times New Roman" w:hAnsi="Times New Roman" w:cs="Times New Roman"/>
          <w:sz w:val="28"/>
          <w:szCs w:val="28"/>
        </w:rPr>
        <w:t xml:space="preserve">вать исполнять не очень виртуозные произведения под «минусовки» со вступлением. Такая игра требует от детей особого внимания, хорошей реакции и, естественно, предварительных занятий и опыта. Трудность организации и проведения таких концертов компенсируется</w:t>
      </w:r>
      <w:r>
        <w:rPr>
          <w:rFonts w:ascii="Times New Roman" w:hAnsi="Times New Roman" w:cs="Times New Roman"/>
          <w:sz w:val="28"/>
          <w:szCs w:val="28"/>
        </w:rPr>
        <w:t xml:space="preserve"> их исключительной пользой и для развития исполнительских навыков учащихся и для пропаганды инструментов. Для публики представление коллектива всегда начинается с выхода на сцену. Внешний вид – своеобразный «выигрышный билет» к успеху. Форма одежды, одинак</w:t>
      </w:r>
      <w:r>
        <w:rPr>
          <w:rFonts w:ascii="Times New Roman" w:hAnsi="Times New Roman" w:cs="Times New Roman"/>
          <w:sz w:val="28"/>
          <w:szCs w:val="28"/>
        </w:rPr>
        <w:t xml:space="preserve">овое держание инструментов, интервал между участниками, темп выхода и ухода, поклон, а также, артистичная стойка во время исполнения, синхронное поднимание и снятие скрипок и смычков – все это является неотъемлемой частью успешных концертных выступлений.  </w:t>
      </w:r>
      <w:r/>
    </w:p>
    <w:p>
      <w:pPr>
        <w:ind w:firstLine="709"/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педагога в работе с</w:t>
      </w:r>
      <w:r>
        <w:rPr>
          <w:rFonts w:ascii="Times New Roman" w:hAnsi="Times New Roman" w:cs="Times New Roman"/>
          <w:sz w:val="28"/>
          <w:szCs w:val="28"/>
        </w:rPr>
        <w:t xml:space="preserve"> ансамблем скрипачей очень многогранна и ответственна. Вопросы дисциплины всегда были и остаются злободневными. Например на репетициях необходимо научить учеников правилу остановиться сразу, по первому знаку педагога и выслушать его советы, или, обращаться</w:t>
      </w:r>
      <w:r>
        <w:rPr>
          <w:rFonts w:ascii="Times New Roman" w:hAnsi="Times New Roman" w:cs="Times New Roman"/>
          <w:sz w:val="28"/>
          <w:szCs w:val="28"/>
        </w:rPr>
        <w:t xml:space="preserve"> за советом не к партнерам, а к педагогу. В работе педагога возникает много вопросов организационного характера, особенно это касается организации концертных выступлений, а также составления удобного расписания репетиционных занятий. Другая проблема состои</w:t>
      </w:r>
      <w:r>
        <w:rPr>
          <w:rFonts w:ascii="Times New Roman" w:hAnsi="Times New Roman" w:cs="Times New Roman"/>
          <w:sz w:val="28"/>
          <w:szCs w:val="28"/>
        </w:rPr>
        <w:t xml:space="preserve">т в расширении ансамблевого репертуара, насыщении его высокохудожественным материалом. Многое в этом направлении делает именно педагог, создавая переложения и обработки, предназначенные для определенного состава и определенного уровня подготовки учеников. </w:t>
      </w:r>
      <w:r>
        <w:rPr>
          <w:rFonts w:ascii="Times New Roman" w:hAnsi="Times New Roman" w:cs="Times New Roman"/>
          <w:sz w:val="28"/>
          <w:szCs w:val="28"/>
        </w:rPr>
        <w:t xml:space="preserve">Несмотря на то, что основная часть музыкального наследия приходится на произведения, написанные для оркестров, на оперы, хоры, на произведения различного рода ансамблей, -  ансамблевое музицирование способствует развитию полифонического мышления, учит слыш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ть и понимать содержание музыки. Педагог детской школы искусств увлекает ученика, помогает ему ощутить себя частью коллектива, несет ответственность за формирование музыкально-эстетических вкусов своих воспитанников. </w:t>
      </w:r>
      <w:r/>
    </w:p>
    <w:p>
      <w:pPr>
        <w:ind w:firstLine="709"/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существует не так много профессиональных коллективов ансамблей скрипачей. В основном этот вид музицирования распространен именно в детских школах искусств </w:t>
      </w:r>
      <w:r>
        <w:rPr>
          <w:rFonts w:ascii="Times New Roman" w:hAnsi="Times New Roman" w:cs="Times New Roman"/>
          <w:sz w:val="28"/>
          <w:szCs w:val="28"/>
        </w:rPr>
        <w:t xml:space="preserve">и является начальной ступенью развития для начинающих музыкантов, их своеобразной стартовой площадкой. Только потом, когда ребенок определяет для себя профессию скрипача-музыканта, он начинает пробовать свои силы в других более распространенных коллективах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оркестрах, камерных квартетах, квинтетах и т.д. Одним из ярки</w:t>
      </w:r>
      <w:r>
        <w:rPr>
          <w:rFonts w:ascii="Times New Roman" w:hAnsi="Times New Roman" w:cs="Times New Roman"/>
          <w:sz w:val="28"/>
          <w:szCs w:val="28"/>
        </w:rPr>
        <w:t xml:space="preserve">х примеров в профессиональной концертной практике скрипичного ансамбля является Ансамбль скрипачей Большого театра СССР под руководством Юрия Реентовича, ансамбля, который благодаря своей успешной творческой деятельности, получил широкое мировое признание.</w:t>
      </w:r>
      <w:r/>
    </w:p>
    <w:p>
      <w:pPr>
        <w:ind w:firstLine="709"/>
        <w:jc w:val="center"/>
        <w:spacing w:lineRule="auto" w:line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используемой литературы:</w:t>
      </w:r>
      <w:r/>
    </w:p>
    <w:p>
      <w:pPr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Драгайцева Д. – Ансамблевое музицирование как фактор развивающего обучения. М., 2005.</w:t>
      </w:r>
      <w:r/>
    </w:p>
    <w:p>
      <w:pPr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Гайдамович Г. «Инструментальные ансамбли»; Музыкальное издательство, М., 1960.</w:t>
      </w:r>
      <w:r/>
    </w:p>
    <w:p>
      <w:pPr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Готлиб А.Д. «О</w:t>
      </w:r>
      <w:r>
        <w:rPr>
          <w:rFonts w:ascii="Times New Roman" w:hAnsi="Times New Roman" w:cs="Times New Roman"/>
          <w:sz w:val="28"/>
          <w:szCs w:val="28"/>
        </w:rPr>
        <w:t xml:space="preserve">сновы ансамблевой техники». М., </w:t>
      </w:r>
      <w:r>
        <w:rPr>
          <w:rFonts w:ascii="Times New Roman" w:hAnsi="Times New Roman" w:cs="Times New Roman"/>
          <w:sz w:val="28"/>
          <w:szCs w:val="28"/>
        </w:rPr>
        <w:t xml:space="preserve">1971.</w:t>
      </w:r>
      <w:r/>
    </w:p>
    <w:p>
      <w:pPr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Зеленин В.М. «Работа в классе ансамбля» Минск,1979. </w:t>
      </w:r>
      <w:r/>
    </w:p>
    <w:p>
      <w:pPr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Мордкович Л. «Детский музыкальный коллектив: некоторые аспекты работы» (на примере ансамбля скрипачей), «Вопросы музыкальной педагогики» вып.6, М.,1986.</w:t>
      </w:r>
      <w:r/>
    </w:p>
    <w:p>
      <w:pPr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Середа С. «Поиск и использование новых подходов к развитию музыкальных способностей исполнителей детского ансамбля скрипачей».</w:t>
      </w:r>
      <w:r/>
    </w:p>
    <w:p>
      <w:pPr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Свирская Т. «Опыт работы в классе скрипичного ансамбля», «Вопросы музыкальной педагогики» вып.2, М -1980. </w:t>
      </w:r>
      <w:r/>
    </w:p>
    <w:p>
      <w:pPr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Куус И. «Коллективное музицирование в ДМШ и его значение в музыкальном воспитании учащихся».</w:t>
      </w:r>
      <w:r/>
    </w:p>
    <w:p>
      <w:pPr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Турчанинова Г. «Организация работы скрипичного ансамбля», «Вопросы музыкальной педагогики» вып. 2, М.,1980.</w:t>
      </w:r>
      <w:r/>
    </w:p>
    <w:p>
      <w:pPr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 xml:space="preserve">Благой Д. «Камерный ансамбль и различные фор</w:t>
      </w:r>
      <w:r>
        <w:rPr>
          <w:rFonts w:ascii="Times New Roman" w:hAnsi="Times New Roman" w:cs="Times New Roman"/>
          <w:sz w:val="28"/>
          <w:szCs w:val="28"/>
        </w:rPr>
        <w:t xml:space="preserve">мы коллективного музицирования», </w:t>
      </w:r>
      <w:r>
        <w:rPr>
          <w:rFonts w:ascii="Times New Roman" w:hAnsi="Times New Roman" w:cs="Times New Roman"/>
          <w:sz w:val="28"/>
          <w:szCs w:val="28"/>
        </w:rPr>
        <w:t xml:space="preserve">«Педагогика и исполнительство». М.,1996.        </w:t>
      </w:r>
      <w:r/>
    </w:p>
    <w:p>
      <w:pPr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 xml:space="preserve">М. Имханицкий – «Работа в классе ансамбля».</w:t>
      </w:r>
      <w:r/>
    </w:p>
    <w:p>
      <w:pPr>
        <w:spacing w:lineRule="auto" w:line="240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sz w:val="22"/>
        <w:szCs w:val="22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11"/>
    <w:next w:val="411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412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11"/>
    <w:next w:val="411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412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11"/>
    <w:next w:val="411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12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11"/>
    <w:next w:val="41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12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11"/>
    <w:next w:val="411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12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11"/>
    <w:next w:val="41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12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11"/>
    <w:next w:val="41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12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11"/>
    <w:next w:val="41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12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11"/>
    <w:next w:val="41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12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411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11"/>
    <w:next w:val="41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12"/>
    <w:link w:val="32"/>
    <w:uiPriority w:val="10"/>
    <w:rPr>
      <w:sz w:val="48"/>
      <w:szCs w:val="48"/>
    </w:rPr>
  </w:style>
  <w:style w:type="paragraph" w:styleId="34">
    <w:name w:val="Subtitle"/>
    <w:basedOn w:val="411"/>
    <w:next w:val="41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12"/>
    <w:link w:val="34"/>
    <w:uiPriority w:val="11"/>
    <w:rPr>
      <w:sz w:val="24"/>
      <w:szCs w:val="24"/>
    </w:rPr>
  </w:style>
  <w:style w:type="paragraph" w:styleId="36">
    <w:name w:val="Quote"/>
    <w:basedOn w:val="411"/>
    <w:next w:val="41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11"/>
    <w:next w:val="411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11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412"/>
    <w:link w:val="40"/>
    <w:uiPriority w:val="99"/>
  </w:style>
  <w:style w:type="paragraph" w:styleId="42">
    <w:name w:val="Footer"/>
    <w:basedOn w:val="411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412"/>
    <w:link w:val="42"/>
    <w:uiPriority w:val="99"/>
  </w:style>
  <w:style w:type="paragraph" w:styleId="44">
    <w:name w:val="Caption"/>
    <w:basedOn w:val="411"/>
    <w:next w:val="4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41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1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1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12"/>
    <w:uiPriority w:val="99"/>
    <w:unhideWhenUsed/>
    <w:rPr>
      <w:vertAlign w:val="superscript"/>
    </w:rPr>
  </w:style>
  <w:style w:type="paragraph" w:styleId="176">
    <w:name w:val="endnote text"/>
    <w:basedOn w:val="41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12"/>
    <w:uiPriority w:val="99"/>
    <w:semiHidden/>
    <w:unhideWhenUsed/>
    <w:rPr>
      <w:vertAlign w:val="superscript"/>
    </w:rPr>
  </w:style>
  <w:style w:type="paragraph" w:styleId="179">
    <w:name w:val="toc 1"/>
    <w:basedOn w:val="411"/>
    <w:next w:val="41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1"/>
    <w:next w:val="41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1"/>
    <w:next w:val="41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1"/>
    <w:next w:val="41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1"/>
    <w:next w:val="41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1"/>
    <w:next w:val="41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1"/>
    <w:next w:val="41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1"/>
    <w:next w:val="41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1"/>
    <w:next w:val="41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1" w:default="1">
    <w:name w:val="Normal"/>
    <w:qFormat/>
    <w:rPr>
      <w:rFonts w:cs="Calibri"/>
      <w:lang w:eastAsia="en-US"/>
    </w:rPr>
    <w:pPr>
      <w:spacing w:lineRule="auto" w:line="259" w:after="160"/>
    </w:pPr>
  </w:style>
  <w:style w:type="character" w:styleId="412" w:default="1">
    <w:name w:val="Default Paragraph Font"/>
    <w:uiPriority w:val="99"/>
    <w:semiHidden/>
  </w:style>
  <w:style w:type="table" w:styleId="413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1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>PooShock RePack</Company>
  <DocSecurity>0</DocSecurity>
  <HyperlinksChanged>false</HyperlinksChanged>
  <LinksUpToDate>false</LinksUpToDate>
  <ScaleCrop>false</ScaleCrop>
  <SharedDoc>false</SharedDoc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revision>45</cp:revision>
  <dcterms:created xsi:type="dcterms:W3CDTF">2018-01-02T07:04:00Z</dcterms:created>
  <dcterms:modified xsi:type="dcterms:W3CDTF">2025-02-24T05:23:47Z</dcterms:modified>
</cp:coreProperties>
</file>