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rFonts w:ascii="Roboto" w:hAnsi="Roboto"/>
          <w:b w:val="0"/>
          <w:i w:val="0"/>
          <w:caps w:val="0"/>
          <w:color w:val="373737"/>
          <w:spacing w:val="0"/>
          <w:sz w:val="20"/>
          <w:highlight w:val="white"/>
        </w:rPr>
        <w:t xml:space="preserve"> 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  <w:t>Экстрадиция и ее уголовно-правовое значение.</w:t>
      </w:r>
    </w:p>
    <w:p w14:paraId="02000000">
      <w:pPr>
        <w:pStyle w:val="Style_1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Международное уголовное право как совокупность норм и принципов, направленных на регулирование взаимодействия государств в борьбе с международной преступностью, ориентировано на поддержание законности и правопорядка. В свою очередь, законность и правопорядок могут поддерживаться при обстоятельствах обеспечения неотвратимости наказания за совершенные преступные деяния. Проблема трансграничной преступности представляет опасность как для отдельных государств, так и для всего мирового сообщества. Отсутствие надлежащего правового сотрудничества между государствами, приводит к появлению и распространению опасной практики, когда преступники, совершая преступление в одном государстве, незаконно пересекают границы другого в целях избежать осуществления правосудия несения уголовной ответственности. Для достижения практического применения принципа неотвратимости наказания необходимо обеспечить физическое присутствие непосредственных фигурантов в судебном заседании, на что и направлено действие института выдачи преступников. Становится очевидно, какую важную роль играет институт выдачи преступников (экстрадиции) в международном уголовном праве.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[1]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perscript"/>
        </w:rPr>
        <w:footnoteReference w:id="1"/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Экстрадиция - Официальная выдача иностранному государству лица, нарушившего законы этого государства.</w:t>
      </w: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t>Под выдачей, как правило, понимается лишь доставка одним государством находящегося на его территории лица другому государству для привлечения к уголовной ответственности или для исполнения приговора. В свою очередь, под передачей понимается доставка государством лица в международный орган или учреждение юстиции, как правило, Международный уголовный суд или Международный трибунал для уголовного преследования или осуществления правосудия. В этом случае имеет место передача национальными органами и учреждениями юстиции (судами) Международному уголовному суду или международным трибуналам права осуществить правосудие в отношении гражданина своей страны, что, по мнению некоторых ученых, вообще не может являться экстрадицией, поскольку последняя предполагает только передачу лица другому государству.»[2]</w:t>
      </w:r>
      <w:r>
        <w:rPr>
          <w:vertAlign w:val="superscript"/>
        </w:rPr>
        <w:footnoteReference w:id="2"/>
      </w:r>
    </w:p>
    <w:p w14:paraId="0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Аналогично тому, как принцип добросовестности в международном праве играет основную роль в процессе поддержания дружественных отношений и сотрудничества между государствами, так и институт выдачи преступников (далее институт экстрадиции) приобретает основополагающее значение для придания международному уголовному праву (как специальной отрасли международного права) характера целостности и завершенности.</w:t>
      </w:r>
    </w:p>
    <w:p w14:paraId="0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t>Экстрадицию также необходимо отличать от таких мер, как депортация, высылка и выдворение. Принципиальное отличие заключается в том, что все указанные меры носят административную природу и предусматривают упрощенный порядок (процедуру) осуществления. Реализация указанных мер регулируется национальным административным законодательством (в России – в основном Кодексом об административных правонарушениях РФ и ФЗ РФ № 115- ФЗ «О правовом положении иностранных граждан в Российской Федерации») и происходит по инициативе государства пребывания лица без согласия и участия других стран, в том числе стран, гражданами которых являются выдворяемые (депортируемые или высылаемые) лица.[3]</w:t>
      </w:r>
      <w:r>
        <w:rPr>
          <w:vertAlign w:val="superscript"/>
        </w:rPr>
        <w:footnoteReference w:id="3"/>
      </w:r>
    </w:p>
    <w:p w14:paraId="0A000000">
      <w:pPr>
        <w:spacing w:after="0" w:before="0"/>
        <w:ind w:firstLine="0" w:left="0" w:right="0"/>
        <w:jc w:val="left"/>
      </w:pPr>
    </w:p>
    <w:p w14:paraId="0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Проблема выдачи преступников является одной из наиболее сложных в международной борьбе с преступностью, так как непосредственно затрагивает вопросы суверенитета заинтересованных государств. Особенности процедуры выдачи вызывают большое количество сложностей, часто сопровождающихся длительным временным периодом в связи с тем, что затрагивает интересы нескольких государств, и различных ведомств каждого из них.</w:t>
      </w:r>
    </w:p>
    <w:p w14:paraId="0C000000">
      <w:pPr>
        <w:spacing w:after="0" w:before="0"/>
        <w:ind w:firstLine="0" w:left="0" w:right="0"/>
        <w:jc w:val="left"/>
      </w:pPr>
    </w:p>
    <w:p w14:paraId="0D000000">
      <w:pPr>
        <w:spacing w:after="0" w:before="0"/>
        <w:ind w:firstLine="0" w:left="0" w:right="0"/>
        <w:jc w:val="left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</w:t>
      </w:r>
      <w:r>
        <w:t>На основе международных актов и УК РФ, экстрадиция в РФ подлежат следующие принципы: - преступления должны быть влекущие за собой выдачу, т. е. входить в число преступлений, за которые можно получить запрос о выдаче;</w:t>
      </w:r>
    </w:p>
    <w:p w14:paraId="0E000000">
      <w:pPr>
        <w:numPr>
          <w:numId w:val="1"/>
        </w:numPr>
        <w:spacing w:after="0" w:before="0"/>
        <w:ind w:right="0"/>
        <w:jc w:val="left"/>
      </w:pPr>
      <w:r>
        <w:t>преступление должно быть деянием с двойной преступностью;</w:t>
      </w:r>
    </w:p>
    <w:p w14:paraId="0F000000">
      <w:pPr>
        <w:numPr>
          <w:numId w:val="1"/>
        </w:numPr>
        <w:spacing w:after="0" w:before="0"/>
        <w:ind w:right="0"/>
        <w:jc w:val="left"/>
      </w:pPr>
      <w:r>
        <w:t>при выдаче необходимо соблюдать принцип «специализации» или «конкретности» (уголовное преследование выданного лица должно осуществляться только за то преступление, в отношении которого выдача имела место).</w:t>
      </w:r>
    </w:p>
    <w:p w14:paraId="10000000">
      <w:pPr>
        <w:spacing w:after="0" w:before="0"/>
        <w:ind w:right="0"/>
        <w:jc w:val="left"/>
      </w:pPr>
    </w:p>
    <w:p w14:paraId="11000000">
      <w:pPr>
        <w:spacing w:after="0" w:before="0"/>
        <w:ind w:right="0"/>
        <w:jc w:val="left"/>
      </w:pPr>
      <w:r>
        <w:t xml:space="preserve">В выдаче может быть отказано, если: </w:t>
      </w:r>
    </w:p>
    <w:p w14:paraId="12000000">
      <w:pPr>
        <w:numPr>
          <w:numId w:val="2"/>
        </w:numPr>
        <w:spacing w:after="0" w:before="0"/>
        <w:ind w:right="0"/>
        <w:jc w:val="left"/>
      </w:pPr>
      <w:r>
        <w:t xml:space="preserve">уголовное преследование носит политический характер; </w:t>
      </w:r>
    </w:p>
    <w:p w14:paraId="13000000">
      <w:pPr>
        <w:numPr>
          <w:numId w:val="2"/>
        </w:numPr>
        <w:spacing w:after="0" w:before="0"/>
        <w:ind w:right="0"/>
        <w:jc w:val="left"/>
      </w:pPr>
      <w:r>
        <w:t xml:space="preserve">преступление совершено в отношении военных и финансовых преступлений; </w:t>
      </w:r>
    </w:p>
    <w:p w14:paraId="14000000">
      <w:pPr>
        <w:numPr>
          <w:numId w:val="2"/>
        </w:numPr>
        <w:spacing w:after="0" w:before="0"/>
        <w:ind w:right="0"/>
        <w:jc w:val="left"/>
      </w:pPr>
      <w:r>
        <w:t xml:space="preserve"> преследование осуществляется по дискриминационному </w:t>
      </w:r>
      <w:r>
        <w:t xml:space="preserve">признаку (расы, религии, национальности или политических убеждений); - истекли сроки исковой давности; в целях соблюдения принципа «non bis in idem»; если выдается лицу, может быть наказан смертной казни, и </w:t>
      </w:r>
      <w:r>
        <w:t>др.</w:t>
      </w:r>
    </w:p>
    <w:p w14:paraId="15000000">
      <w:pPr>
        <w:spacing w:after="0" w:before="0"/>
        <w:ind w:right="0"/>
        <w:jc w:val="left"/>
      </w:pPr>
    </w:p>
    <w:p w14:paraId="16000000">
      <w:pPr>
        <w:spacing w:after="0" w:before="0"/>
        <w:ind w:right="0"/>
        <w:jc w:val="left"/>
      </w:pPr>
      <w:r>
        <w:t xml:space="preserve">         Российская  Федерация  может отказать в выдаче иностранного гражданин или лицо без гражданства, если преступление, в связи с которым запрашивается выдача, совершено полностью или частично на ее территории. Не важно, был инициатором совершения деяния или вредные последствия преступления произошли на нашей территории. Лицо не может быть выдано в случае недостаточности или слабости доказательств причастности разыскиваемого лица к совершению преступления, к которому обращена просьба о выдаче.</w:t>
      </w:r>
    </w:p>
    <w:p w14:paraId="17000000">
      <w:pPr>
        <w:spacing w:after="0" w:before="0"/>
        <w:ind w:right="0"/>
        <w:jc w:val="left"/>
      </w:pPr>
      <w:r>
        <w:t>Институт экстрадиции продолжает развиваться. Несмотря на некоторые различия в правовых системах о выдаче, следует отметить, что развитие этого института происходит в демократическом направлении. Предприятия-эмитента это возможно, когда вы гарантировать, что выдается будет гарантировано право на справедливое судебное разбирательство с соблюдением прав и свобод человека. В заключение сделаем вывод, что содержание института экстрадиции не ограничивается вопросами выдачи преступников, но и также обеспечивает правовое регулирование международного сотрудничества и правовой помощи между государствами по уголовным и гражданским делам.</w:t>
      </w:r>
    </w:p>
    <w:p w14:paraId="1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На основе изучения региональных и локальных конвенций и двусторонних договоров об экстрадиции можно условно дифференциации. Правовых оснований для отказа в экстрадиции в их юридическому значению можно разделить на три группы: императивные, диспозитивные и факультативные</w:t>
      </w:r>
      <w: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[4]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vertAlign w:val="superscript"/>
        </w:rPr>
        <w:footnoteReference w:id="4"/>
      </w:r>
    </w:p>
    <w:p w14:paraId="1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 1). Императивные правовые нормы путем достижения общего соглашения государств. </w:t>
      </w:r>
    </w:p>
    <w:p w14:paraId="1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2). Универсальные императивные нормы в отказе выдачи можно считать те правила, которые вывешены во всех региональных конвенций о выдаче преступников. Как известно, сегодня в международной практики не существует универсальной Конвенции об экстрадиции, положения имеют важное значение для установления единых стандартов для отказа в экстрадиции. </w:t>
      </w:r>
    </w:p>
    <w:p w14:paraId="1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3). Диспозитивные нормы в отказе в выдаче в первую очередь процедурные; несоблюдение процессуальных норм может, по усмотрению суда, служить основанием для невыдачи. Что касается факультативных правил, то они содержат ряд вариантов </w:t>
      </w:r>
      <w:r>
        <w:t xml:space="preserve">решения проблем, связанных с конкретной проблемой. </w:t>
      </w:r>
    </w:p>
    <w:p w14:paraId="1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Императивные основания для отказа в выдаче может быть, в частности:</w:t>
      </w:r>
    </w:p>
    <w:p w14:paraId="2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 а) смертная казнь в качестве наказания в запрашивающем государстве;</w:t>
      </w:r>
    </w:p>
    <w:p w14:paraId="2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 б) пытки и другие жестокие, бесчеловечные или унижающие достоинство виды обращения или наказания; </w:t>
      </w:r>
    </w:p>
    <w:p w14:paraId="2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в) правило «non bis in idem»; г) отказом в выдаче из-за некоторых «политических мотивов»; </w:t>
      </w:r>
    </w:p>
    <w:p w14:paraId="2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е) совершение воинских преступлений; </w:t>
      </w:r>
    </w:p>
    <w:p w14:paraId="2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ж) истечения срока давности.</w:t>
      </w:r>
    </w:p>
    <w:p w14:paraId="2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 xml:space="preserve">       </w:t>
      </w:r>
      <w:r>
        <w:t xml:space="preserve"> </w:t>
      </w:r>
    </w:p>
    <w:p w14:paraId="27000000">
      <w:pPr>
        <w:pStyle w:val="Style_1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t>Таким образом, в заключение отметим, что сегодня в Российской Федерации правовая база в целом обеспечивает гарантию прав и свобод, о выдаче (экстрадиции) в области международного уголовного правосудия</w:t>
      </w:r>
    </w:p>
    <w:p w14:paraId="28000000">
      <w:pPr>
        <w:pStyle w:val="Style_1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29000000">
      <w:pPr>
        <w:pStyle w:val="Style_1"/>
      </w:pPr>
    </w:p>
    <w:p w14:paraId="2A000000">
      <w:pPr>
        <w:pStyle w:val="Style_1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B000000">
      <w:pPr>
        <w:pStyle w:val="Style_1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2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Литература:</w:t>
      </w:r>
    </w:p>
    <w:p w14:paraId="2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E000000">
      <w:pPr>
        <w:spacing w:after="0" w:before="0"/>
        <w:ind w:firstLine="0" w:left="0" w:right="0"/>
        <w:jc w:val="left"/>
      </w:pPr>
      <w:r>
        <w:t>1.ПРАВОВЫЕ ПРОБЛЕМЫ УКРЕПЛЕНИЯ РОССИЙСКОЙ ГОСУДАРСТВЕННОСТИ Часть 78/</w:t>
      </w:r>
      <w:r>
        <w:t>Томск Издательский Дом Томского государственного университета 2018 -с 1-4.</w:t>
      </w:r>
    </w:p>
    <w:p w14:paraId="2F000000">
      <w:pPr>
        <w:spacing w:after="0" w:before="0"/>
        <w:ind w:firstLine="0" w:left="0" w:right="0"/>
        <w:jc w:val="left"/>
        <w:rPr>
          <w:rFonts w:ascii="Roboto" w:hAnsi="Roboto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Roboto" w:hAnsi="Roboto"/>
          <w:b w:val="0"/>
          <w:i w:val="0"/>
          <w:caps w:val="0"/>
          <w:color w:val="000000"/>
          <w:spacing w:val="0"/>
          <w:sz w:val="26"/>
          <w:highlight w:val="white"/>
        </w:rPr>
        <w:t>2.</w:t>
      </w:r>
      <w:r>
        <w:t xml:space="preserve"> Сафаров Н.А. Экстрадиция в международном уголовном праве: проблемы теории и практики. М. : Волтер-Клуверс, 2005. С. 24.</w:t>
      </w:r>
    </w:p>
    <w:p w14:paraId="30000000">
      <w:pPr>
        <w:spacing w:after="0" w:before="0"/>
        <w:ind w:firstLine="0" w:left="0" w:right="0"/>
        <w:jc w:val="left"/>
      </w:pPr>
      <w:r>
        <w:t xml:space="preserve">3. </w:t>
      </w:r>
      <w:r>
        <w:t>Семенов А.Ю. Экстрадиция в Российской Федерации // Законность и правопорядок в современном обществе. 2016. № 6. С.50.</w:t>
      </w:r>
    </w:p>
    <w:p w14:paraId="31000000">
      <w:pPr>
        <w:spacing w:after="0" w:before="0"/>
        <w:ind w:firstLine="0" w:left="0" w:right="0"/>
        <w:jc w:val="left"/>
      </w:pPr>
      <w:r>
        <w:t xml:space="preserve">4. </w:t>
      </w:r>
      <w:r>
        <w:t>Гончаренко А.И. Условия экстрадиции // Общество и право. 2015. № 2 (52). С. 147.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32000000">
      <w:pPr>
        <w:pStyle w:val="Style_12"/>
      </w:pPr>
      <w:r>
        <w:rPr>
          <w:vertAlign w:val="superscript"/>
        </w:rPr>
        <w:footnoteRef/>
      </w:r>
      <w:r>
        <w:t xml:space="preserve"> </w:t>
      </w:r>
      <w:r>
        <w:t>ПРАВОВЫЕ ПРОБЛЕМЫ УКРЕПЛЕНИЯ РОССИЙСКОЙ ГОСУДАРСТВЕННОСТИ Часть 78/</w:t>
      </w:r>
      <w:r>
        <w:t>Томск Издательский Дом Томского государственного университета 2018 -с 1-4.</w:t>
      </w:r>
    </w:p>
  </w:footnote>
  <w:footnote w:id="2">
    <w:p w14:paraId="33000000">
      <w:pPr>
        <w:pStyle w:val="Style_12"/>
      </w:pPr>
      <w:r>
        <w:rPr>
          <w:vertAlign w:val="superscript"/>
        </w:rPr>
        <w:footnoteRef/>
      </w:r>
      <w:r>
        <w:t xml:space="preserve"> </w:t>
      </w:r>
      <w:r>
        <w:t xml:space="preserve"> Сафаров Н.А. Экстрадиция в международном уголовном праве: проблемы теории и практики. М. : Волтер-Клуверс, 2005. С. 24.</w:t>
      </w:r>
    </w:p>
    <w:p w14:paraId="34000000">
      <w:pPr>
        <w:pStyle w:val="Style_12"/>
      </w:pPr>
    </w:p>
  </w:footnote>
  <w:footnote w:id="3">
    <w:p w14:paraId="35000000">
      <w:pPr>
        <w:pStyle w:val="Style_12"/>
      </w:pPr>
      <w:r>
        <w:rPr>
          <w:vertAlign w:val="superscript"/>
        </w:rPr>
        <w:footnoteRef/>
      </w:r>
      <w:r>
        <w:t xml:space="preserve"> </w:t>
      </w:r>
      <w:r>
        <w:t>Семенов А.Ю. Экстрадиция в Российской Федерации // Законность и правопорядок в современном обществе. 2016. № 6. С.50</w:t>
      </w:r>
    </w:p>
  </w:footnote>
  <w:footnote w:id="4">
    <w:p w14:paraId="36000000">
      <w:pPr>
        <w:pStyle w:val="Style_12"/>
      </w:pPr>
      <w:r>
        <w:rPr>
          <w:vertAlign w:val="superscript"/>
        </w:rPr>
        <w:footnoteRef/>
      </w:r>
      <w:r>
        <w:t xml:space="preserve"> </w:t>
      </w:r>
      <w:r>
        <w:t xml:space="preserve"> </w:t>
      </w:r>
      <w:r>
        <w:t>Гончаренко А.И. Условия экстрадиции // Общество и право. 2015. № 2 (52). С. 147.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2025-05-03T12:17:48Z</dcterms:modified>
</cp:coreProperties>
</file>