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9578" w14:textId="585D40A7" w:rsidR="0056230A" w:rsidRDefault="0056230A" w:rsidP="00AF7A97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РОЛЬ СМИ В ТРАНСЛЯЦИИ ДЕЯТЕЛЬНОСТИ СОЦИАЛЬНО-ОРИЕНТИРОВАННЫХ НЕКОММЕРЧЕСКИХ ОРГАНИЗАЦИЙ: МЕДИАКОММУНИКАТИВНЫЙ АСПЕКТ</w:t>
      </w:r>
    </w:p>
    <w:p w14:paraId="10B98B7B" w14:textId="77777777" w:rsidR="009045D2" w:rsidRPr="009045D2" w:rsidRDefault="009045D2" w:rsidP="00AF7A97">
      <w:pPr>
        <w:spacing w:line="240" w:lineRule="auto"/>
      </w:pPr>
    </w:p>
    <w:p w14:paraId="707359E9" w14:textId="0B9533B8" w:rsidR="0056230A" w:rsidRPr="009045D2" w:rsidRDefault="0056230A" w:rsidP="00AF7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4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Буторина Ю.Д.</w:t>
      </w:r>
    </w:p>
    <w:p w14:paraId="40BC3F83" w14:textId="3C545BE8" w:rsidR="0056230A" w:rsidRPr="009045D2" w:rsidRDefault="0056230A" w:rsidP="00AF7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4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Волгоградский государственный медицинский университет, г. Волгоград</w:t>
      </w:r>
    </w:p>
    <w:p w14:paraId="18EE5C68" w14:textId="5D8C27D5" w:rsidR="0056230A" w:rsidRPr="009045D2" w:rsidRDefault="0056230A" w:rsidP="00AF7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4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Кафедра экономики и менеджмента</w:t>
      </w:r>
    </w:p>
    <w:p w14:paraId="2620C328" w14:textId="2C286554" w:rsidR="0056230A" w:rsidRDefault="0056230A" w:rsidP="00AF7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4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Научный руководитель: к.</w:t>
      </w:r>
      <w:r w:rsidR="00904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4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филос.</w:t>
      </w:r>
      <w:r w:rsidR="00904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4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н., доцент кафедры экономики и менеджмента Гаврилова Ирина Сергеевна</w:t>
      </w:r>
    </w:p>
    <w:p w14:paraId="659EE05E" w14:textId="77777777" w:rsidR="009045D2" w:rsidRPr="009045D2" w:rsidRDefault="009045D2" w:rsidP="00AF7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AE5CA5F" w14:textId="24C416A4" w:rsidR="0056230A" w:rsidRDefault="0056230A" w:rsidP="00AF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условиях глобализации средства</w:t>
      </w:r>
      <w:r w:rsidRPr="0014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массовой информации стали важным инструментом продвижения идей и актуализации различных политических, экономических и культурных процессов.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этой связи всё более актуальным</w:t>
      </w:r>
      <w:r w:rsidRPr="0014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становится их </w:t>
      </w:r>
      <w:r w:rsidRPr="00052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просветительская функция.</w:t>
      </w:r>
      <w:r w:rsidRPr="0014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данный момент </w:t>
      </w:r>
      <w:r w:rsidRPr="0014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медиа в различных формах (телевидение, радио, печать, интернет) оказывают значительное влияние на формирование общественного сознания, создавая те ключевые акценты, которые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ределяют дальнейшее направление</w:t>
      </w:r>
      <w:r w:rsidRPr="0014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 общества.</w:t>
      </w:r>
    </w:p>
    <w:p w14:paraId="5C919E0A" w14:textId="77777777" w:rsidR="0056230A" w:rsidRDefault="0056230A" w:rsidP="00AF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Современные формы информирования о деятельности социально-ориентированных некоммерческих организаций (далее СО НКО) являются мощным фактором развития данного сектора. </w:t>
      </w:r>
    </w:p>
    <w:p w14:paraId="5968C577" w14:textId="77777777" w:rsidR="0056230A" w:rsidRPr="00775D8E" w:rsidRDefault="0056230A" w:rsidP="00AF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данным опроса Центра оценки общественных инициатив ИППИ НИУ ВШЭ, социальные медиа используют 85% НКО.</w:t>
      </w:r>
      <w:r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1"/>
      </w:r>
    </w:p>
    <w:p w14:paraId="236C4C49" w14:textId="77777777" w:rsidR="0056230A" w:rsidRDefault="0056230A" w:rsidP="00AF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7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социальной работы и медиа представляет собой двусторонний процесс, при котором социальная работа использует потенциал СМИ для достижения своих целей, а СМИ способствуют повышению осведомленности общества о важных социальных проблемах и деятельности НКО. Эффективное использование информационных технологий позволяют учреждениям успешно решать задачи информирования, мобилизации ресурсов и формирования общественного мнения, что в конечном итоге ведет к улучшению условий жизни людей и решению острых социальных проблем.</w:t>
      </w:r>
    </w:p>
    <w:p w14:paraId="48BA3334" w14:textId="77777777" w:rsidR="009045D2" w:rsidRDefault="009045D2" w:rsidP="00AF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Социально-ориентированные некоммерческие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 </w:t>
      </w:r>
      <w:r w:rsidRPr="005C2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 проблемы и поддерживают</w:t>
      </w:r>
      <w:r w:rsidRPr="005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уязвимые группы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создаются в соответствии с российским законодательством и не являются государственными или политическими структурами. Основной целью СОНКО является улучшение качества жизни граждан через реализацию социальных проектов, мероприятий и программ.</w:t>
      </w:r>
    </w:p>
    <w:p w14:paraId="2EF6AF92" w14:textId="11286E19" w:rsidR="009045D2" w:rsidRPr="009045D2" w:rsidRDefault="009045D2" w:rsidP="00AF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некоммерч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организациях», определяет социально-ориентированные некоммерческие организации (далее СОНКО) </w:t>
      </w:r>
      <w:r w:rsidRPr="003C4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«…некоммерческие организации, созданные в предусмотренных настоящим Федеральным законом формах (за исключением государственных корпораций, государственных компаний, общественных объединений, являющихся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политическими партиями) и осуществляющие деятельность, направленную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социальных проблем, развитие гражданского общества 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Федерации…»</w:t>
      </w:r>
      <w:r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7492C8" w14:textId="77777777" w:rsidR="009045D2" w:rsidRDefault="009045D2" w:rsidP="00AF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F51">
        <w:rPr>
          <w:rFonts w:ascii="Times New Roman" w:hAnsi="Times New Roman" w:cs="Times New Roman"/>
          <w:sz w:val="28"/>
          <w:szCs w:val="28"/>
          <w:lang w:eastAsia="ru-RU"/>
        </w:rPr>
        <w:t>Одной из эффективных методик работы с населением я</w:t>
      </w:r>
      <w:r>
        <w:rPr>
          <w:rFonts w:ascii="Times New Roman" w:hAnsi="Times New Roman" w:cs="Times New Roman"/>
          <w:sz w:val="28"/>
          <w:szCs w:val="28"/>
          <w:lang w:eastAsia="ru-RU"/>
        </w:rPr>
        <w:t>вляются кампании с привлечением СМИ</w:t>
      </w:r>
      <w:r w:rsidRPr="001F2F51">
        <w:rPr>
          <w:rFonts w:ascii="Times New Roman" w:hAnsi="Times New Roman" w:cs="Times New Roman"/>
          <w:sz w:val="28"/>
          <w:szCs w:val="28"/>
          <w:lang w:eastAsia="ru-RU"/>
        </w:rPr>
        <w:t>. Они с успехом используются для профилактики социальных болезней, борьбы с насилием, охраны природы, пропаганды здорового образа жизни, преодоления предубеждений против людей «групп риска» – живущих с ВИЧ, бездомных, мигрантов, детей улиц и т.д.</w:t>
      </w:r>
      <w:r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3"/>
      </w:r>
    </w:p>
    <w:p w14:paraId="0A27977E" w14:textId="1C5AF6A0" w:rsidR="009045D2" w:rsidRPr="009045D2" w:rsidRDefault="009045D2" w:rsidP="00AF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Законе Российской Федерации «О средствах массовой информации» под СМИ понимается </w:t>
      </w:r>
      <w:r w:rsidRPr="00D615CE">
        <w:rPr>
          <w:rFonts w:ascii="Times New Roman" w:hAnsi="Times New Roman" w:cs="Times New Roman"/>
          <w:sz w:val="28"/>
          <w:szCs w:val="28"/>
          <w:lang w:eastAsia="ru-RU"/>
        </w:rPr>
        <w:t>периодическое печатное издание, сетевое издание, телеканал, радиоканал, телепрограмма, радиопрограмма, видеопрограмма, кинохроникальная программа, иная форма периодического распространения массовой информации под постоянным наименованием.</w:t>
      </w:r>
      <w:r w:rsidRPr="00D615CE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4"/>
      </w:r>
    </w:p>
    <w:p w14:paraId="2BEB67EF" w14:textId="77777777" w:rsidR="009045D2" w:rsidRDefault="009045D2" w:rsidP="00AF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D7381">
        <w:rPr>
          <w:rFonts w:ascii="Times New Roman" w:hAnsi="Times New Roman" w:cs="Times New Roman"/>
          <w:sz w:val="28"/>
          <w:szCs w:val="28"/>
          <w:lang w:eastAsia="ru-RU"/>
        </w:rPr>
        <w:t>ринципы функционирования СМИ с социально-ориентированными НКО лежат в основе успешного взаимодействия, способствующего развитию как организаций, так и общества в целом. Сбалансированное, объективное и активное сотрудничество между этими структурами не только усиливает ряд социально важных инициатив, но и создает возможности для позитивных изменений в обществе.</w:t>
      </w:r>
    </w:p>
    <w:p w14:paraId="00FF0748" w14:textId="77777777" w:rsidR="009045D2" w:rsidRDefault="009045D2" w:rsidP="00AF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Медиа-деятельность НКО – это стратегическое использование СМИ и и цифровых коммуникационных инструментов для продвижения социальных инициатив, привлечения общественного внимания к значимым проблемам, а также формирование позитивного имиджа организации.</w:t>
      </w:r>
    </w:p>
    <w:p w14:paraId="52C70542" w14:textId="77777777" w:rsidR="009045D2" w:rsidRDefault="009045D2" w:rsidP="00AF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исследованию А.В. Шарковской, медиа-деятельность НКО представляет собой «комплекс коммуникативных практик, направленных на достижение социальных изменений через информирование, убеждение и мобилизацию целевых аудиторий».</w:t>
      </w:r>
      <w:r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5"/>
      </w:r>
    </w:p>
    <w:p w14:paraId="3F9F239E" w14:textId="77777777" w:rsidR="009045D2" w:rsidRPr="004F246A" w:rsidRDefault="009045D2" w:rsidP="00AF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334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современного общества, где информация и коммуникации становятся важнейшими факторами влияния на общественные процессы, СМИ оказывают значительное воздействие на различные аспекты функционирования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B47334">
        <w:rPr>
          <w:rFonts w:ascii="Times New Roman" w:hAnsi="Times New Roman" w:cs="Times New Roman"/>
          <w:sz w:val="28"/>
          <w:szCs w:val="28"/>
          <w:lang w:eastAsia="ru-RU"/>
        </w:rPr>
        <w:t>НКО.</w:t>
      </w:r>
    </w:p>
    <w:p w14:paraId="57264D12" w14:textId="77777777" w:rsidR="009045D2" w:rsidRDefault="009045D2" w:rsidP="00AF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334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основных преимуществ, которые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B47334">
        <w:rPr>
          <w:rFonts w:ascii="Times New Roman" w:hAnsi="Times New Roman" w:cs="Times New Roman"/>
          <w:sz w:val="28"/>
          <w:szCs w:val="28"/>
          <w:lang w:eastAsia="ru-RU"/>
        </w:rPr>
        <w:t xml:space="preserve">НКО получают через СМИ, является возможность широкой информационной трансляции о своих </w:t>
      </w:r>
      <w:r w:rsidRPr="00B473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задачах, проектах и социальной миссии. СМИ способны донести до широкой аудитории важные социальные вопросы, которые затрагивают 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нкретные НКО, например, </w:t>
      </w:r>
      <w:r w:rsidRPr="00B47334">
        <w:rPr>
          <w:rFonts w:ascii="Times New Roman" w:hAnsi="Times New Roman" w:cs="Times New Roman"/>
          <w:sz w:val="28"/>
          <w:szCs w:val="28"/>
          <w:lang w:eastAsia="ru-RU"/>
        </w:rPr>
        <w:t>борьба с бедностью, защита прав человека, экологические проблемы или поддержка уязвимых групп населения. Благодаря этому общество может лучше понять значимость деятельности таких организаций и поддержать их инициативы.</w:t>
      </w:r>
    </w:p>
    <w:p w14:paraId="68211C6E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исследование способствует определению </w:t>
      </w:r>
      <w:r w:rsidRPr="007D120A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эффективных медиа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120A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стратегий и коммуникативных инструментов, позволяющих социально-ориентированным НКО повысить свою видимость и вовлечь аудиторию в решение актуальных общественных проблем. Полученные результаты могут быть использованы для оптимизации взаимодействия между третьим сектором и СМИ с целью усиления социального воздействия и формирования устойчивых моделей гражданского участия.</w:t>
      </w:r>
    </w:p>
    <w:p w14:paraId="28105FAA" w14:textId="2DD4229C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етодом исследования выбран</w:t>
      </w:r>
      <w:r w:rsidR="00AF7A9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контент-анализ и авторское анкетирование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Восприятие деятельности СО НКО в социальных сетях: мнение аудитории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среди целевой аудитории исследуемых НКО. В анкетирование принимало участие 113 человек. </w:t>
      </w:r>
      <w:r w:rsidRPr="009B2521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было проведено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521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программного обеспечения для администрирования опросов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521">
        <w:rPr>
          <w:rFonts w:ascii="Times New Roman" w:hAnsi="Times New Roman" w:cs="Times New Roman"/>
          <w:sz w:val="28"/>
          <w:szCs w:val="28"/>
          <w:shd w:val="clear" w:color="auto" w:fill="FFFFFF"/>
        </w:rPr>
        <w:t>Google Forms. Участие было добровольным и анонимным. Обработка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521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 эмпирического исследования осуществлялась с помощью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2521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Excel.</w:t>
      </w:r>
    </w:p>
    <w:p w14:paraId="7FA39841" w14:textId="5B389A75" w:rsidR="009045D2" w:rsidRPr="002A472B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9045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онтент-анализ применен к 70 публикациям 7 СОНКО г. Волгограда и Волгоградской области за 2024-2025 гг., размещённых в официальных пабликах социальных сетей ВКонтакте.</w:t>
      </w:r>
    </w:p>
    <w:p w14:paraId="421502A1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Отбор материалов методом стратифицированной выборки: по 10 постов от каждой организации, равномерно распределённых по месяцам, чтобы исключить сезонные искажения. </w:t>
      </w:r>
    </w:p>
    <w:p w14:paraId="3B12AEA2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Выборку составили следующие организации:</w:t>
      </w:r>
    </w:p>
    <w:p w14:paraId="56C25604" w14:textId="77777777" w:rsidR="009045D2" w:rsidRPr="008C5BAA" w:rsidRDefault="009045D2" w:rsidP="00AF7A9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5B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АНО «Центр помощи населению «Солнечный дом»</w:t>
      </w:r>
    </w:p>
    <w:p w14:paraId="786AB722" w14:textId="77777777" w:rsidR="009045D2" w:rsidRPr="008C5BAA" w:rsidRDefault="009045D2" w:rsidP="00AF7A9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5B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АНО социальной поддержки населению «Золотая осень»</w:t>
      </w:r>
    </w:p>
    <w:p w14:paraId="310091D5" w14:textId="77777777" w:rsidR="009045D2" w:rsidRPr="008C5BAA" w:rsidRDefault="009045D2" w:rsidP="00AF7A9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5B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АНО СОН "Опора"</w:t>
      </w:r>
    </w:p>
    <w:p w14:paraId="7DE7633B" w14:textId="77777777" w:rsidR="009045D2" w:rsidRPr="008C5BAA" w:rsidRDefault="009045D2" w:rsidP="00AF7A9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5B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АНО «Центр по решению экологических проблем и сохранения природного потенциала «Чистое будущее»</w:t>
      </w:r>
    </w:p>
    <w:p w14:paraId="30D6B9E2" w14:textId="77777777" w:rsidR="009045D2" w:rsidRPr="008C5BAA" w:rsidRDefault="009045D2" w:rsidP="00AF7A9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5B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АНО СО «Достойный возраст»</w:t>
      </w:r>
    </w:p>
    <w:p w14:paraId="38A5D8DC" w14:textId="77777777" w:rsidR="009045D2" w:rsidRPr="008C5BAA" w:rsidRDefault="009045D2" w:rsidP="00AF7A9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5B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АНО СОН «Милосердие»</w:t>
      </w:r>
    </w:p>
    <w:p w14:paraId="4D7D4DE2" w14:textId="77777777" w:rsidR="009045D2" w:rsidRPr="008C5BAA" w:rsidRDefault="009045D2" w:rsidP="00AF7A9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5B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АНО СОН «Территория добра»</w:t>
      </w:r>
    </w:p>
    <w:p w14:paraId="5B21A866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Критерии включения: посты, содержащий явный призыв к действию или освещающий социальные инициативы. Исключены репосты сторонних ресурсов и технические объявления.</w:t>
      </w:r>
    </w:p>
    <w:p w14:paraId="35462DF7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Для анализа использовались только публикации с подверженными метриками (лайки, репосты, комментарии), что обеспечило репрезентативность данных.</w:t>
      </w:r>
    </w:p>
    <w:p w14:paraId="605E3F8F" w14:textId="77777777" w:rsidR="009045D2" w:rsidRPr="00292838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целью обобщения результатов данных исследования использован графический метод.</w:t>
      </w:r>
    </w:p>
    <w:p w14:paraId="1AB94132" w14:textId="56554205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первую очередь, мы рассмотрели форматы медиа-материалов, используемых СО НКО. Результаты того, какие форматы наиболее распространены в официальных группах исследуемых организаций, представлены на рисунке 1.</w:t>
      </w:r>
    </w:p>
    <w:p w14:paraId="5006D263" w14:textId="77777777" w:rsidR="009045D2" w:rsidRPr="00F11008" w:rsidRDefault="009045D2" w:rsidP="00AF7A97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D35C744" wp14:editId="685FFCFD">
            <wp:extent cx="4902200" cy="2171700"/>
            <wp:effectExtent l="0" t="0" r="12700" b="0"/>
            <wp:docPr id="96076417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CCC7755-002B-B2DC-43C2-27D18D250C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C1F4C9" w14:textId="71646B01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>. Распределение материалов по типам медиа</w:t>
      </w:r>
    </w:p>
    <w:p w14:paraId="1BD88E2D" w14:textId="77777777" w:rsidR="009045D2" w:rsidRPr="00AA3AD3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D30EF1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Результаты исследования показывают преобладание текстовых новостей (36,6%) и фотоматериалов (33,7%) в структуре публикуемого контента. Эти два формата составляют более 70% от общего числа публикаций, что свидетельствует об их ключевой роли в коммуникационной стратегии организаций. </w:t>
      </w:r>
    </w:p>
    <w:p w14:paraId="04F10F0B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Видеоконтент, включая видеоклипы (10,5%) и видеорепортажи (1,7%) представлен в значительно меньшей степени, что может быть связано с высокой ресурсоемкостью его производства. </w:t>
      </w:r>
    </w:p>
    <w:p w14:paraId="2EDAC428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Интервью, как формат, используются редко (3,5%), что, вероятно, обусловлено их специфичностью и меньшей востребованностью в рамках текущей медиастратегии. </w:t>
      </w:r>
    </w:p>
    <w:p w14:paraId="19A3FDFD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Инфографика занимает промежуточное положение (14%), демонстрируя умеренную популярность в качестве инструмента визуализации данных.</w:t>
      </w:r>
    </w:p>
    <w:p w14:paraId="43538304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Hlk197461910"/>
      <w:bookmarkStart w:id="1" w:name="_Hlk197461935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Таким образом, основными форматами контента в официальных группах СО НКО остаются текстовые новости и фотоматериалы, что соответствует тенденциям удобства их создания и восприятия аудиторией. В то же время наблюдается ограниченное использование сложных мультимедийных форматов, что может указывать на их необходимость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дополнительных ресурсов для их внедрения или недостаточную вовлеченность аудитории в подобный контент</w:t>
      </w:r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5D5FB74" w14:textId="113F626F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Далее, мы рассмотрели эффективность материалов по типам медиа. </w:t>
      </w:r>
      <w:r w:rsidRPr="0096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Проведенный анализ позволяет выявить существенные различия в эффективности различных типов контента в официальных группах СО НКО по ключевым показателям вовлеченности аудитории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(рисунок 2).</w:t>
      </w:r>
    </w:p>
    <w:p w14:paraId="2D1C8A87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bookmarkEnd w:id="1"/>
    <w:p w14:paraId="3AFB1A69" w14:textId="77777777" w:rsidR="009045D2" w:rsidRPr="00EE3EC8" w:rsidRDefault="009045D2" w:rsidP="00AF7A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557FE42" wp14:editId="0CC2589C">
            <wp:extent cx="4486275" cy="3028950"/>
            <wp:effectExtent l="0" t="0" r="9525" b="0"/>
            <wp:docPr id="155779497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9D10996-5981-0449-D7C7-201AA40186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30FEEB" w14:textId="4157E21C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>Рис</w:t>
      </w:r>
      <w:r w:rsidR="00CE7B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C5BAA">
        <w:rPr>
          <w:rFonts w:ascii="Times New Roman" w:hAnsi="Times New Roman" w:cs="Times New Roman"/>
          <w:sz w:val="24"/>
          <w:szCs w:val="24"/>
          <w:lang w:eastAsia="ru-RU"/>
        </w:rPr>
        <w:t>Эффективность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>материалов по типам медиа</w:t>
      </w:r>
    </w:p>
    <w:p w14:paraId="48B04FDE" w14:textId="77777777" w:rsidR="009045D2" w:rsidRPr="00AA3AD3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F4D0F7" w14:textId="77777777" w:rsidR="009045D2" w:rsidRPr="009672E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Наибольший средний охват демонстрирует инфографика (500 пользователей, +61% к среднему показателю), видеоклипы (450, +45%) и интервью (420, +36%). Фото (350) и текстовые новости (310) показывают средние значения. Наименьший охват у видеорепортажей (200, -35% от среднего).</w:t>
      </w:r>
    </w:p>
    <w:p w14:paraId="01015AFE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лайкам лидируют фото (42, +62% к среднему) и интервью (34), видеоклипы (34) и инфографика (28). По репостам выделяются интервью (5) и видеоклипы (5), что в 2,5 раза выше среднего показателя. Комментарии наиболее активны под видеоклипами (4), интервью (3) и инфографикой (3).</w:t>
      </w:r>
    </w:p>
    <w:p w14:paraId="2C0C6BC9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 сделать вывод, что наблюдается явный дисбаланс между частотой публикаций и их эффективностью: наиболее распространенные текстовые новости (36,6%) показывают средние показатели вовлеченности, тогда как редко публикуемые инфографика (1,7%) и интервью (3,5%) демонстрируют максимальную эффективность. Визуальные форматы (фото, инфографика, видеоклипы) в среднем на 40-60% эффективнее текстовых материалов по ключевым показателям вовлеченности.</w:t>
      </w:r>
    </w:p>
    <w:p w14:paraId="738FC99F" w14:textId="7A2276F5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812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Анализ тематического распределения контента в официальных группах СО НКО выявил четкую приоритезацию социально значимых направлений.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Результаты исследования представлены на рисунке 3.</w:t>
      </w:r>
    </w:p>
    <w:p w14:paraId="6E36C8AA" w14:textId="77777777" w:rsidR="009045D2" w:rsidRDefault="009045D2" w:rsidP="00AF7A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16908EF" wp14:editId="50E757FF">
            <wp:extent cx="4181475" cy="1866900"/>
            <wp:effectExtent l="0" t="0" r="9525" b="0"/>
            <wp:docPr id="101881882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B7811B1-613C-D285-4426-BFEFFA246D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BD1991" w14:textId="7F137E3F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. Распределение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публикаций по тематике</w:t>
      </w:r>
    </w:p>
    <w:p w14:paraId="5F8ABA99" w14:textId="77777777" w:rsidR="009045D2" w:rsidRPr="00AA3AD3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256123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812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Анализ показал доминирование темы социальной защиты (48,6%). Данная тематика, охватывающая более половины публикаций, подразумевает освещение вопросов: поддержки уязвимых групп населения (инвалиды, пожилые, малоимущие), правовой и психологической помощи, трудоустройства социально незащищенных граждан, доступности медицинских и образовательных услуг.</w:t>
      </w:r>
    </w:p>
    <w:p w14:paraId="7D0C6895" w14:textId="77777777" w:rsidR="009045D2" w:rsidRPr="00060F79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0F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Значительную долю занимает тема волонтерства (30%). Каждая третья публикация посвящена: организации добровольческих инициатив, привлечению новых волонтеров, отчетам 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60F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проведенных волонтерских мероприятиях.  </w:t>
      </w:r>
    </w:p>
    <w:p w14:paraId="60151968" w14:textId="77777777" w:rsidR="009045D2" w:rsidRDefault="009045D2" w:rsidP="00AF7A97">
      <w:pPr>
        <w:spacing w:line="240" w:lineRule="auto"/>
        <w:ind w:firstLine="709"/>
        <w:jc w:val="both"/>
      </w:pPr>
      <w:r w:rsidRPr="00060F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Контент экологической тематики (17,1%) включает: пропаганду устойчивого развития, анонсы субботников и эко-акций, просветительские материалы.</w:t>
      </w:r>
    </w:p>
    <w:p w14:paraId="247C9F99" w14:textId="77777777" w:rsidR="009045D2" w:rsidRPr="00D21B07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1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Тема помощи детям имеет малую представленность (4,3%). Несмотря на социальную значимость, тема освещается эпизодически, что может свидетельствовать о: узкой специализации большинства анализируемых НКО или недостаточной визуализации деятельности  </w:t>
      </w:r>
    </w:p>
    <w:p w14:paraId="5C036AE0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1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данным исследования можно сделать вывод, что тематический фокус соответствует миссии СО НКО, с явным акцентом на социальную защиту и мобилизацию волонтерских ресурсов. Экологическая повестка, несмотря на глобальную актуальность, занимает подчиненное положение. Диспропорция в освещении помощи детям требует дополнительного изучения – возможно, тема реализуется в рамках общей соцзащиты без выделения в отдельное направление. </w:t>
      </w:r>
    </w:p>
    <w:p w14:paraId="0A27F95B" w14:textId="34F6125D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1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Следующий важный аспект, который мы рассмотрели - эффективность призывов к действию. Результаты исследования представлены на рисунке</w:t>
      </w:r>
      <w:r w:rsidR="00CE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21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4. </w:t>
      </w:r>
      <w:r w:rsidRPr="00060F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3A95D3B4" w14:textId="77777777" w:rsidR="009045D2" w:rsidRDefault="009045D2" w:rsidP="00AF7A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7B3A449" wp14:editId="2DFF35EA">
            <wp:extent cx="4410075" cy="2181225"/>
            <wp:effectExtent l="0" t="0" r="9525" b="9525"/>
            <wp:docPr id="15757544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2732535-4799-73A9-83DA-B30183F281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E76A59" w14:textId="59EBD3FE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Анализ </w:t>
      </w:r>
      <w:r w:rsidRPr="008C5BAA">
        <w:rPr>
          <w:rFonts w:ascii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призывов к действию</w:t>
      </w:r>
    </w:p>
    <w:p w14:paraId="68E79685" w14:textId="77777777" w:rsidR="009045D2" w:rsidRPr="00AA3AD3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866361" w14:textId="77777777" w:rsidR="009045D2" w:rsidRPr="00D21B07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1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Анализ взаимодействия аудитории с различными типами призывов к действию выявил существенные различия в их эффективности. Наиболее редкими оказались публикации со сбором денежных средств – всего 1 публикация (8% от общего числа призывов), которая получила 13 лайков, 1 репост и не вызвала комментариев. Это свидетельствует о низкой вовлеченности аудитории в финансовую поддержку организаций.  </w:t>
      </w:r>
    </w:p>
    <w:p w14:paraId="199F4BC5" w14:textId="77777777" w:rsidR="009045D2" w:rsidRPr="00D21B07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1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Набор волонтеров, представленный 5 публикациями (42%), продемонстрировал более высокую активность – 78 лайков (44% от общего числа реакций), 4 репоста (31%) и 1 комментарий (25%). Однако наибольшую эффективность показали гуманитарные сборы: при 6 публикациях (50%) они собрали 86 лайков (48%), 8 репостов (62%) и 3 комментария (75%).  </w:t>
      </w:r>
    </w:p>
    <w:p w14:paraId="0F2A7BA4" w14:textId="77777777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1B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образом, аудитория значительно охотнее реагирует на конкретные материальные (гуманитарные сборы) и деятельные (волонтерство) формы помощи, чем на финансовые призывы. Разница в вовлеченности между гуманитарными сборами и сборами денежных средств составляет около 50% по лайкам и более чем в 6 раз по репостам. Это указывает на необходимость пересмотра стратегии фандрайзинга – возможно, через акцентирование конкретных целей сбора или комбинирование финансовых призывов с другими формами поддержки для повышения доверия и вовлеченности подписчиков.</w:t>
      </w:r>
    </w:p>
    <w:p w14:paraId="699120C8" w14:textId="6BD60975" w:rsidR="009045D2" w:rsidRDefault="009045D2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61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Исходя из результатов нашего исследования, можно отметить, что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</w:t>
      </w:r>
      <w:r w:rsidRPr="005944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нализ контент-стратегий СО НКО выявил ключевые тенденции: традиционные текстовые форматы (новости, фото) преобладают, но демонстрируют среднюю вовлеченность, тогда как редко используемые визуальные форматы (инфографика, видео) показывают максимальную эффективность. Тематически доминируют социальная защита и волонтерство, при этом аудитория активнее реагирует на конкретные призывы (гуманитарная помощь, волонтерство), чем на сбор денежных средств. Результаты указывают на необходимость перераспределения ресурсов в </w:t>
      </w:r>
      <w:r w:rsidRPr="005944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пользу визуальных и интерактивных форматов, а также оптимизации призывов к действию с учетом предпочтений аудитории для повышения эффективности коммуникации.</w:t>
      </w:r>
    </w:p>
    <w:p w14:paraId="7C9AA155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ходе исследования, направленного на оценивание эффективности медиа-деятельности СО НКО в восприятии аудитории, мы рассмотрели ряд вопросов.</w:t>
      </w:r>
    </w:p>
    <w:p w14:paraId="532C3403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целью обобщения результатов данных исследования использован графический метод.</w:t>
      </w:r>
    </w:p>
    <w:p w14:paraId="61D433ED" w14:textId="1696D2FC" w:rsidR="009045D2" w:rsidRPr="0082589F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анкетировании</w:t>
      </w:r>
      <w:r w:rsid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приняло участие 113 подписчиков СО НКО г. Волгограда и Волгоградской области, представленных на рисунке </w:t>
      </w:r>
      <w:r w:rsidR="00CE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4D8E6F6" w14:textId="77777777" w:rsidR="009045D2" w:rsidRPr="0082589F" w:rsidRDefault="009045D2" w:rsidP="00AF7A97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A3271A8" wp14:editId="0CD51F63">
            <wp:extent cx="4886325" cy="3333750"/>
            <wp:effectExtent l="0" t="0" r="9525" b="0"/>
            <wp:docPr id="63742416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9C126DE-82E8-41B3-88AB-864E53CD2C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021395E" w14:textId="10AC7DE4" w:rsidR="009045D2" w:rsidRPr="00AA3AD3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 w:rsidR="00CE7BD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Количество подписчиков СО НКО, прошедших анкетирование</w:t>
      </w:r>
    </w:p>
    <w:p w14:paraId="05A2A85D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C21A9C3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 видим, что из представленных выше 7 СО НКО, в социологическом исследовании приняли участие 10 подписчиков АНО «Золотая осень» (8,8%), 12 подписчиков АНО «Милосердие» (10,6%), 17 подписчиков АНО «Территория добра» (15%), 20 подписчиков АНО «Достойный возраст» (17,7%), 23 подписчика АНО «Опора» (20,4%), 27 подписчиков АНО «Чистое будущее» (23,9%) и 33 подписчика АНО «Солнечный дом» (29,2%).</w:t>
      </w:r>
    </w:p>
    <w:p w14:paraId="427A7D99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Выборка не согласована относительно пола.</w:t>
      </w:r>
    </w:p>
    <w:p w14:paraId="703135AA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Далее, в нашей анкете был представлен вопрос, направленный на выявление частоты видимости контента СО НКО в социальных сетях среди целевой аудитории.</w:t>
      </w:r>
    </w:p>
    <w:p w14:paraId="2AE4A7DB" w14:textId="2AC4E407" w:rsidR="009045D2" w:rsidRPr="0082589F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Результаты того, как часто респонденты видят публикации СО НКО в своей новостной ленте представлены на рисунке </w:t>
      </w:r>
      <w:r w:rsidR="00CE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1084205" w14:textId="77777777" w:rsidR="009045D2" w:rsidRPr="0082589F" w:rsidRDefault="009045D2" w:rsidP="00AF7A97">
      <w:pPr>
        <w:spacing w:line="240" w:lineRule="auto"/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68EA7AB4" wp14:editId="2AD3086C">
            <wp:extent cx="4352925" cy="2286000"/>
            <wp:effectExtent l="0" t="0" r="9525" b="0"/>
            <wp:docPr id="15085619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8521E97-F882-0669-FAFE-DB2CDF4224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D97BE7" w14:textId="37C6573C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 w:rsidR="00CE7BD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Частота появления публикаций СО НКО в ленте пользователей</w:t>
      </w:r>
    </w:p>
    <w:p w14:paraId="36732EB3" w14:textId="77777777" w:rsidR="009045D2" w:rsidRPr="00AA3AD3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D36470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Результаты исследования показывают, что большинство респондентов (53,1%) сталкиваются с публикациями СО НКО несколько раз в неделю, но также немалая доля (20,4%) замечают публикации раз в месяц или реже, и 7,1% опрошенных вовсе не замечают контент СО НКО. Это подчеркивает необходимость оптимизации стратегий продвижения – например, через более частый контент и учитывания предпочтения аудитории.</w:t>
      </w:r>
    </w:p>
    <w:p w14:paraId="77C10D9A" w14:textId="04BBB96D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Далее, в анкете идет опрос, определяющий предпочтительные форматы контента, с целью максимального вовлечения целевой аудитории. Результаты представлены на рисунке </w:t>
      </w:r>
      <w:r w:rsidR="00CE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4433C2F5" w14:textId="77777777" w:rsidR="009045D2" w:rsidRDefault="009045D2" w:rsidP="00AF7A97">
      <w:pPr>
        <w:spacing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0CB0E25" w14:textId="77777777" w:rsidR="009045D2" w:rsidRDefault="009045D2" w:rsidP="00AF7A97">
      <w:pPr>
        <w:spacing w:line="240" w:lineRule="auto"/>
        <w:rPr>
          <w:lang w:eastAsia="ru-RU"/>
        </w:rPr>
      </w:pPr>
      <w:r>
        <w:rPr>
          <w:noProof/>
        </w:rPr>
        <w:drawing>
          <wp:inline distT="0" distB="0" distL="0" distR="0" wp14:anchorId="64AC12DC" wp14:editId="0C730FB5">
            <wp:extent cx="5940425" cy="2324100"/>
            <wp:effectExtent l="0" t="0" r="3175" b="0"/>
            <wp:docPr id="33013570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99B5013-E5CF-1C58-863E-826ED0A815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8EA4C73" w14:textId="21380FE6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 w:rsidR="00CE7BD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Предпочтения по форматам контента СО НКО</w:t>
      </w:r>
    </w:p>
    <w:p w14:paraId="2F83BBA8" w14:textId="77777777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C2FABD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Результаты исследования показывают, </w:t>
      </w:r>
      <w:r w:rsidRPr="00A460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видеоролики (51,3%) и клипы (46%) являются самыми популярными форматами, что подтверждает тренд на визуализацию информации и рост потребления видео в соцсетях. Фотографии (45,1%) также остаются востребованными, так как они быстро передают эмоции и не требуют длительного просмотра. Текстовые новости (41,6%) и инфографика (39,8%) менее популярны, но сохраняют значимую долю, особенно среди аудитории, предпочитающей лаконичные и структурированные данные. Исходя из вышесказанного, можно сделать вывод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460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 аудитория СО НКО больше всего вовлекается в визуальный контент (видео, клипы, фото), что соответствует общим тенденциям соцсетей. Однако текстовые форматы и инфографика по-прежнему важны для части пользователей, ценящих информативность.</w:t>
      </w:r>
    </w:p>
    <w:p w14:paraId="321A1547" w14:textId="206C3199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3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следующем вопросе мы рассмотрели, насколько респондентам понятна деятельность СО НКО. Этот вопрос позволяет оценить ясность коммуникации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учреждения </w:t>
      </w:r>
      <w:r w:rsidRPr="00C63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эффективность их работы по информированию аудитории о своей деятельности. Результаты представлены на рисунке </w:t>
      </w:r>
      <w:r w:rsidR="00CE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C63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DAF1EEF" w14:textId="77777777" w:rsidR="009045D2" w:rsidRPr="00AA3AD3" w:rsidRDefault="009045D2" w:rsidP="00AF7A9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427E02" w14:textId="77777777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FD0991B" wp14:editId="008DDCDE">
            <wp:extent cx="5000625" cy="2628900"/>
            <wp:effectExtent l="0" t="0" r="9525" b="0"/>
            <wp:docPr id="64715595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8B703E7-65CD-5A3E-8C1D-CAB1AB8001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BE8DBA2" w14:textId="2DCFA3F8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 w:rsidR="00CE7BD9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 Ясность коммуникации НКО в соцсетях</w:t>
      </w:r>
    </w:p>
    <w:p w14:paraId="6F3EA593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162DC6E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3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Результаты вопроса коррелируют с данными предыдущих вопросов. Высокая осведомленность (50,4%) согласуется с частым упоминанием видеороликов (51,3%) и фотографий (45,1%) как предпочитаемых форматов. Это подтверждает, что визуальный контент эффективно доносит миссию организаций.  35,4% респондентов с частичным пониманием могут нуждаться в более структурированной информации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Pr="00C63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например, в инфографике (39,8%) или текстовых новостях (41,6%), которые пока менее популярны, но важны для детализации. Для повышения ясности коммуникации СО НКО необходимо сохранять лидерство визуальных форматов (видео, фото), но дополнять их краткими поясняющими текстами или инфографикой. </w:t>
      </w:r>
    </w:p>
    <w:p w14:paraId="58AF54AE" w14:textId="00426BE8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Следующий вопрос определяет, как часто респонденты взаимодействуют с публикациями СО НКО. Результаты представлены на рисунке </w:t>
      </w:r>
      <w:r w:rsidR="00CE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950868E" w14:textId="77777777" w:rsidR="009045D2" w:rsidRPr="00AA3AD3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46CC48" w14:textId="77777777" w:rsidR="009045D2" w:rsidRDefault="009045D2" w:rsidP="00AF7A97">
      <w:pPr>
        <w:spacing w:line="240" w:lineRule="auto"/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47D86363" wp14:editId="0FC8CEBD">
            <wp:extent cx="4333875" cy="2162175"/>
            <wp:effectExtent l="0" t="0" r="9525" b="9525"/>
            <wp:docPr id="173563537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557589F-8C99-2E2D-E243-14FD3DCF54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4179FB4" w14:textId="310066D0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 w:rsidR="00CE7BD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Уровень вовлеченности в контент СО НКО</w:t>
      </w:r>
    </w:p>
    <w:p w14:paraId="6956830C" w14:textId="77777777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EE53B7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C7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 видим, что практически равные доли респондентов взаимодействуют с контентом регулярно (34,5%) и иногда (35,4%). Это свидетельствует о наличии устойчивой, но умеренно активной аудитории. При этом 24,8% делают это редко, а 5,3% вообще не взаимодействуют, формируя зону роста для повышения вовлеченности. В сравнении с предыдущими данными высокий процент регулярного взаимодействия коррелирует с хорошим пониманием деятельности СО НКО (50,4% респондентов). Это подтверждает, что ясность контента напрямую влияет на вовлеченность.</w:t>
      </w:r>
    </w:p>
    <w:p w14:paraId="700E684C" w14:textId="23FAB17D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Следующий вопрос определяет наиболее близкие темы для респондентов, освещаемыми СО НКО. </w:t>
      </w:r>
      <w:r w:rsidRPr="000A43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Важность данного вопроса обуславливается выявлением приоритетных социальных тем для целевой аудитории, что позволяет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организации </w:t>
      </w:r>
      <w:r w:rsidRPr="000A43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фокусироваться на наиболее актуальных направлениях в своей работе и коммуникации.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Результаты представлены на рисунке </w:t>
      </w:r>
      <w:r w:rsidR="00CE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3C41D1F" w14:textId="77777777" w:rsidR="009045D2" w:rsidRPr="002C70B3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59E35A8" w14:textId="77777777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6B843F1" wp14:editId="6CF151A0">
            <wp:extent cx="5476875" cy="2752725"/>
            <wp:effectExtent l="0" t="0" r="9525" b="9525"/>
            <wp:docPr id="630512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A24724D-0B52-C47E-2D0C-B913BA77AB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17D508F" w14:textId="5BCC1E52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 w:rsidR="00CE7BD9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Приоритетные направления социальной поддержки по мнению респондентов</w:t>
      </w:r>
    </w:p>
    <w:p w14:paraId="1F8878AF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18A9948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A43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Результаты исследования показывают равную значимость ключевых тем, таких как: помощь детям (40,7%), поддержка пожилых (40,7%) и экология/защита животных (40,7%). Это демонстрирует сбалансированный интерес аудитории к разным социальным проблемам. Незначительный разрыв между ними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A43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 же подчеркивает, что эти темы универсально важны для общества, вне зависимости от специализации конкретных НКО. Тематика волонтерские программ (46,9%) и помощь инвалидам/малоимущим (45,1%) оказались также близки аудитории. Это отражает запрос на активное участие (волонтерство) и социальную справедливость (поддержка незащищенных слоев).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A43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Исходя из вышесказанного, можно сделать вывод, при том, что данные НКО работают в разных специализациях, респонденты демонстрируют одинаковый уровень интереса к ключевым социальным проблемам. Это говорит о том, что аудитория готова поддерживать разнообразные инициативы, если они соответствуют ее ценностям.</w:t>
      </w:r>
    </w:p>
    <w:p w14:paraId="4D27327A" w14:textId="1A8D7600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437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Следующие вопросы, рассмотренные в анкете, определяют количество призывов к действию публикациями СО НКО, и способы вовлеченности респондентов в деятельность учреждений. Данные вопросы заданы с целью выявления разрыва между призывом и фактическим откликом, а также определения ключевых стимулов для аудитории, помогая НКО адаптировать контент под запросы целевой группы и усилить вовлечение. Результаты анкетирования представлены на рисунках </w:t>
      </w:r>
      <w:r w:rsidR="00CE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 и 12.</w:t>
      </w:r>
    </w:p>
    <w:p w14:paraId="73C84B8F" w14:textId="77777777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079399" w14:textId="77777777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AD3451C" wp14:editId="1189DB1E">
            <wp:extent cx="4438650" cy="2352675"/>
            <wp:effectExtent l="0" t="0" r="0" b="9525"/>
            <wp:docPr id="169340298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996E606-6D1B-25ED-DD42-1F88DCB1D3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BB64F17" w14:textId="34D9563F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 w:rsidR="00CE7BD9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Призывы к действию публикациями СО НКО</w:t>
      </w:r>
    </w:p>
    <w:p w14:paraId="2C04FE86" w14:textId="77777777" w:rsidR="009045D2" w:rsidRPr="00AA3AD3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A51400" w14:textId="77777777" w:rsidR="009045D2" w:rsidRDefault="009045D2" w:rsidP="00AF7A97">
      <w:pPr>
        <w:spacing w:line="240" w:lineRule="auto"/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79E7AFA4" wp14:editId="183FF9A8">
            <wp:extent cx="4352925" cy="2495550"/>
            <wp:effectExtent l="0" t="0" r="9525" b="0"/>
            <wp:docPr id="132761197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A7069D4-DA00-6789-5B13-4563A04A5B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5FD1C1E" w14:textId="6E7941F2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 w:rsidR="00CE7BD9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Способы повышения вовлеченности аудитории</w:t>
      </w:r>
    </w:p>
    <w:p w14:paraId="2A2C75C1" w14:textId="77777777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AE3233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24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Результаты исследования показывают, что 27,4% респондентов не только видели призывы, но и реально участвовали (волонтерство, пожертвования). Это свидетельствует о том, что часть аудитории готова к активной поддержке, если контент мотивирует. Однако 37,2% отмечают, что, несмотря на призывы, не стали участвовать. Это указывает на проблемы в убедительности коммуникации (недостаток доверия, сложность участия, слабая эмоциональная вовлеченность). 25,7% вообще не замечали призывов, что может быть связано с пассивной подачей или недостаточной частотой таких сообщений.  Повысить вовлеченность в деятельность СО НКО может интерактивный контент (30,1%) и регулярные отчеты (29,2%). Личные истории подопечных (24,8%) также остаются важным драйвером эмоциональной связи. Исходя из этого, можно сделать вывод, что СО НКО необходимо усиливать мотивационную составляющую контента.</w:t>
      </w:r>
    </w:p>
    <w:p w14:paraId="63C89422" w14:textId="1C9FC1EB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768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Следующий вопрос, рассмотренный в анкете, задан с целью выявления наиболее используемых социальных сетей среди респондентов. Важность этого вопроса определяется тем, что он позволяет определить ключевые цифровые площадки для эффективного взаимодействия СО НКО с целевой аудиторией. Результаты представлены на рисунке </w:t>
      </w:r>
      <w:r w:rsidR="00CE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</w:t>
      </w:r>
    </w:p>
    <w:p w14:paraId="20E7D2BE" w14:textId="77777777" w:rsidR="009045D2" w:rsidRPr="00AA3AD3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8C7632" w14:textId="77777777" w:rsidR="009045D2" w:rsidRDefault="009045D2" w:rsidP="00AF7A97">
      <w:pPr>
        <w:spacing w:line="240" w:lineRule="auto"/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60820F9B" wp14:editId="6EC4BDE7">
            <wp:extent cx="4305300" cy="2085975"/>
            <wp:effectExtent l="0" t="0" r="0" b="9525"/>
            <wp:docPr id="28767524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410F118-E62E-076D-950A-E164E19141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F9F5EB1" w14:textId="2928A44D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 w:rsidR="00CE7BD9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Наиболее используемые социальные сети среди респондентов</w:t>
      </w:r>
    </w:p>
    <w:p w14:paraId="60006FF6" w14:textId="77777777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D40B09" w14:textId="77777777" w:rsidR="009045D2" w:rsidRPr="00317A91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768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Результаты исследования показывают, что абсолютным лидером по популярности среди респондентов является социальная сеть ВКонтакте (85,8%), что свидетельствует о ее доминирующей роли как основного канала коммуникации с аудиторией. Значительная часть опрошенных также использует Telegram (67,3%), что подчеркивает важность мессенджеров и каналов в системе взаимодействия. При этом такие платформы, как Instagram</w:t>
      </w:r>
      <w:r w:rsidRPr="006F2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</w:t>
      </w:r>
      <w:r w:rsidRPr="003768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(23%) и Одноклассники (24,8%), демонстрируют примерно равный, но существенно более низкий уровень востребованности, а TikTok (19,5%) пока остается нишевой площадкой для данной целевой группы. Полученные данные четко указывают на необходимость для СО НКО делать основной акцент на ВКонтакте и Telegram как наиболее массовых и популярных среди аудитории платформах, при этом сохраняя присутствие в других социальных сетях для охвата различных сегментов пользователей. Особое внимание следует уделить адаптации контента под специфику каждой платформы и особенности её аудитории.</w:t>
      </w:r>
    </w:p>
    <w:p w14:paraId="60B80380" w14:textId="77777777" w:rsidR="009045D2" w:rsidRPr="006F2C5E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F2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(* - </w:t>
      </w:r>
      <w:r w:rsidRPr="006F2C5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Meta</w:t>
      </w:r>
      <w:r w:rsidRPr="006F2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признан в России экстремистской организацией)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E6B3E4A" w14:textId="33876F4C" w:rsidR="009045D2" w:rsidRPr="006F2C5E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F2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Далее в нашей анкете был представлен вопрос, распределяющий респондентов по возрастным группам. Анализ возрастной структуры аудитории позволяет СО НКО адаптировать контент и форматы коммуникации под особенности разных поколений. Понимание возрастных предпочтений помогает эффективнее выстраивать стратегию вовлечения, учитывая различия в поведении и потребностях целевых групп. Результаты исследования представлены на рисунке </w:t>
      </w:r>
      <w:r w:rsidR="00CE7B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</w:t>
      </w:r>
    </w:p>
    <w:p w14:paraId="434148DE" w14:textId="77777777" w:rsidR="009045D2" w:rsidRPr="003768F7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953807" w14:textId="77777777" w:rsidR="009045D2" w:rsidRDefault="009045D2" w:rsidP="00AF7A97">
      <w:pPr>
        <w:spacing w:line="240" w:lineRule="auto"/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534FF52F" wp14:editId="75AF9815">
            <wp:extent cx="4410075" cy="2305050"/>
            <wp:effectExtent l="0" t="0" r="9525" b="0"/>
            <wp:docPr id="104411734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568E8D6-281A-B579-7CBE-726B25C858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993340C" w14:textId="2D5E37B2" w:rsidR="009045D2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Рис </w:t>
      </w:r>
      <w:r w:rsidR="00CE7BD9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AA3AD3">
        <w:rPr>
          <w:rFonts w:ascii="Times New Roman" w:hAnsi="Times New Roman" w:cs="Times New Roman"/>
          <w:sz w:val="24"/>
          <w:szCs w:val="24"/>
          <w:lang w:eastAsia="ru-RU"/>
        </w:rPr>
        <w:t xml:space="preserve">. Распределение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респондентов по возрастным категориям</w:t>
      </w:r>
    </w:p>
    <w:p w14:paraId="6F40591E" w14:textId="77777777" w:rsidR="009045D2" w:rsidRPr="00AA3AD3" w:rsidRDefault="009045D2" w:rsidP="00AF7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A7CCE9" w14:textId="77777777" w:rsidR="009045D2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F2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 наблюдаем, что основную часть аудитории (60%) составляют люди зрелого возраста (33–45 лет), что коррелирует с высокой популярностью ВКонтакте (85,8%)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Pr="006F2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платформы, традиционно востребованной у этой возрастной группы. Молодежь (18–25 лет), несмотря на меньшую долю (13%), активнее использует визуальные форматы (видео, клипы), что объясняет их предпочтения в контенте (51,3%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Pr="006F2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видеоролики). При этом аудитория 26–32 лет (21%), будучи наиболее социально активной, чаще откликается на призывы к волонтерству (46,9%) и интерактивный контент (30,1%). Эти данные показывают, что для основной аудитории (33–45 лет) критически важны простота и прозрачность (отчеты, текстовые новости), так как они чаще пользуются ВКонтакте. Молодежь (18–25 лет) требует визуального контента (TikTok, клипы), но из-за малой доли в выборке не должна быть главным фокусом. Группа 26–32 лет является ключевым ресурсом для вовлечения в волонтерство, особенно через Телеграм (67,3%) и интерактивные форматы. </w:t>
      </w:r>
    </w:p>
    <w:p w14:paraId="4A6CC79B" w14:textId="77777777" w:rsidR="009045D2" w:rsidRPr="005944D1" w:rsidRDefault="009045D2" w:rsidP="00AF7A9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39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Проведенное исследование выявило ключевую зависимость между возрастом аудитории, предпочитаемыми платформами и форматами контента. Полученные данные подчеркивают необходимость адаптации коммуникационных стратегий СО НКО с учетом особенностей различных возрастных групп и их цифровых предпочтений. Результаты анкетирования позволяют рекомендовать дифференцированный подход к контенту, сочетающий информативность для старшей аудитории и визуальную вовлекательность для молодежи.</w:t>
      </w:r>
    </w:p>
    <w:p w14:paraId="278E3E4E" w14:textId="77777777" w:rsidR="00AF7A97" w:rsidRPr="00576181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61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Проведенный анализ контент-стратегии официальных групп СО НКО позволил выявить ключевые закономерности в распределении и </w:t>
      </w:r>
      <w:r w:rsidRPr="00D264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эффективности</w:t>
      </w:r>
      <w:r w:rsidRPr="005761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публикуемых материалов. Наибольшую долю контента составляют текстовые новости и фотоматериалы, однако эти форматы демонстрируют средние показатели вовлеченности, уступая более визуальным и интерактивным типам контента. В частности, инфографика, несмотря на </w:t>
      </w:r>
      <w:r w:rsidRPr="005761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минимальную представленность, показывает наивысший охват, а видеоклипы и интервью лидируют по уровню лайков и репостов. Это свидетельствует о дисбалансе между частотой использования форматов и их эффективностью, указывая на необходимость перераспределения ресурсов в пользу визуально ориентированных и интерактивных материалов.  </w:t>
      </w:r>
    </w:p>
    <w:p w14:paraId="16F8ECBD" w14:textId="77777777" w:rsidR="00AF7A97" w:rsidRPr="00576181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2" w:name="_Hlk197900013"/>
      <w:r w:rsidRPr="005761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Тематический анализ выявил доминирование социальной защиты и волонтерства, что отражает приоритеты СО НКО, тогда как помощь детями экология представлены значительно меньше. При этом эффективность призывов к действию варьируется в зависимости от их типа: гуманитарные сборы и набор волонтеров вызывают значительно большую активность аудитории, чем сбор денежных средств. Такая динамика подчеркивает </w:t>
      </w:r>
      <w:bookmarkEnd w:id="2"/>
      <w:r w:rsidRPr="005761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предпочтение аудитории конкретных, осязаемых форм участия, а также возможное недоверие или низкую мотивацию к финансовой поддержке.  </w:t>
      </w:r>
    </w:p>
    <w:p w14:paraId="669EBD30" w14:textId="77777777" w:rsidR="00AF7A97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61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целом, контент-анализ СО НКО демонстрирует ориентацию на традиционные форматы и темы, в то время как потенциал роста вовлеченности аудитории связан с увеличением доли визуального контента, развитием интерактивных форматов (интервью, видеоклипы) и более четкой дифференциацией тематических направлений. Оптимизация призывов к действию, включая комбинирование финансовых сборов с гуманитарными и волонтерскими инициативами, способна повысить отклик аудитории и эффективность коммуникации в целом. Полученные данные указывают на необходимость более гибкого подхода к контент-планированию, учитывающего не только миссию организаций, но и предпочтения целевой аудитории.</w:t>
      </w:r>
    </w:p>
    <w:p w14:paraId="72CCD2EB" w14:textId="77777777" w:rsidR="00AF7A97" w:rsidRPr="0005397E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3" w:name="_Hlk197963328"/>
      <w:r w:rsidRPr="000539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Проведенное анкетирование позволило выявить ключевые закономерности во взаимодействии целевой аудитории с деятельностью социально ориентированных некоммерческих организаций. Результаты исследования демонстрируют, что основная часть респондентов принадлежит к возрастной группе 33-45 лет, что определяет доминирование платформы ВКонтакте как основного канала коммуникации. При этом выявлена значимая корреляция между возрастными характеристиками и предпочтениями в форматах контента: зрелая аудитория проявляет больший интерес к текстовым новостям и отчетам о деятельности, тогда как более молодые пользователи (18-32 года) чаще взаимодействуют с визуальными форматами - </w:t>
      </w:r>
      <w:bookmarkStart w:id="4" w:name="_Hlk197963260"/>
      <w:r w:rsidRPr="000539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видеороликами и клипами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bookmarkEnd w:id="3"/>
    <w:p w14:paraId="36C48492" w14:textId="77777777" w:rsidR="00AF7A97" w:rsidRPr="00C13519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39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Анализ данных свидетельствует о необходимости дифференцированного подхода к коммуникационной стратегии СО НКО. Наибольший потенциал для вовлечения демонстрирует группа 26-32 лет, проявляющая активность в Телеграме и наиболее отзывчивая к призывам о волонтерстве. При этом сохраняется запрос на повышение прозрачности деятельности организаций и персонализацию контента</w:t>
      </w:r>
      <w:bookmarkEnd w:id="4"/>
      <w:r w:rsidRPr="000539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Полученные результаты позволяют сделать вывод о том, что эффективная стратегия </w:t>
      </w:r>
      <w:r w:rsidRPr="000539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взаимодействия с аудиторией должна сочетать платформенно-ориентированный подход с учетом возрастных особенностей целевых групп и их предпочтений в форматах потребления информации.</w:t>
      </w:r>
    </w:p>
    <w:p w14:paraId="3BEC3918" w14:textId="77777777" w:rsidR="00AF7A97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64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основе проведенного исследования медиа-деятельности социально-ориентированных некоммерческих организаций (СО НКО) были выявлены ключевые проблемы и потенциал развития их коммуникационных стратегий. Анализ контента в СМИ и социальных сетях, а также результаты анкетирования целевой аудитории показали, что, несмотря на активную работу многих организаций, существует значительный ресурс для оптимизации их присутствия в информационном пространстве.</w:t>
      </w:r>
    </w:p>
    <w:p w14:paraId="705725E8" w14:textId="77777777" w:rsidR="00AF7A97" w:rsidRPr="00D26414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64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Современные вызовы, такие как высокая конкуренция за внимание аудитории, необходимость формирования устойчивого доверия и поиск эффективных способов мобилизации поддержки, требуют от СО НКО пересмотра традиционных подходов к коммуникации. В данном разделе представлены практические рекомендации, направленные на:  </w:t>
      </w:r>
    </w:p>
    <w:p w14:paraId="5A562D77" w14:textId="77777777" w:rsidR="00AF7A97" w:rsidRPr="00D26414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64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повышение эффективности контент-стратегий за счет использования более вовлекающих форматов;  </w:t>
      </w:r>
    </w:p>
    <w:p w14:paraId="371B158F" w14:textId="77777777" w:rsidR="00AF7A97" w:rsidRPr="00D26414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64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усиление взаимодействия с аудиторией через прозрачность и диалог;  </w:t>
      </w:r>
    </w:p>
    <w:p w14:paraId="2516D4EF" w14:textId="77777777" w:rsidR="00AF7A97" w:rsidRPr="00D26414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64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адаптацию цифровых инструментов для расширения охвата и точного таргетинга;  </w:t>
      </w:r>
    </w:p>
    <w:p w14:paraId="77F3A153" w14:textId="77777777" w:rsidR="00AF7A97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64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развитие внутренних компетенций команд в области медиа-коммуникаций.</w:t>
      </w:r>
    </w:p>
    <w:p w14:paraId="5880D873" w14:textId="77777777" w:rsidR="00AF7A97" w:rsidRDefault="00AF7A97" w:rsidP="00AF7A97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Таблица 1. Практические рекомендации по оптимизации деятельности СО НКО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7A97" w14:paraId="68AAFB0A" w14:textId="77777777" w:rsidTr="00F71711">
        <w:tc>
          <w:tcPr>
            <w:tcW w:w="3115" w:type="dxa"/>
          </w:tcPr>
          <w:p w14:paraId="61FC91D0" w14:textId="77777777" w:rsidR="00AF7A97" w:rsidRDefault="00AF7A97" w:rsidP="00AF7A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Направление оптимизации</w:t>
            </w:r>
          </w:p>
        </w:tc>
        <w:tc>
          <w:tcPr>
            <w:tcW w:w="3115" w:type="dxa"/>
          </w:tcPr>
          <w:p w14:paraId="3172B0D4" w14:textId="77777777" w:rsidR="00AF7A97" w:rsidRDefault="00AF7A97" w:rsidP="00AF7A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Конкретные рекомендации</w:t>
            </w:r>
          </w:p>
        </w:tc>
        <w:tc>
          <w:tcPr>
            <w:tcW w:w="3115" w:type="dxa"/>
          </w:tcPr>
          <w:p w14:paraId="17F68DCF" w14:textId="77777777" w:rsidR="00AF7A97" w:rsidRDefault="00AF7A97" w:rsidP="00AF7A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Ожидаемый эффект</w:t>
            </w:r>
          </w:p>
        </w:tc>
      </w:tr>
      <w:tr w:rsidR="00AF7A97" w14:paraId="5BC97810" w14:textId="77777777" w:rsidTr="00F71711">
        <w:tc>
          <w:tcPr>
            <w:tcW w:w="3115" w:type="dxa"/>
          </w:tcPr>
          <w:p w14:paraId="026D9B5C" w14:textId="77777777" w:rsidR="00AF7A97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Контент-стратегия</w:t>
            </w:r>
          </w:p>
        </w:tc>
        <w:tc>
          <w:tcPr>
            <w:tcW w:w="3115" w:type="dxa"/>
          </w:tcPr>
          <w:p w14:paraId="41EDBB0A" w14:textId="77777777" w:rsidR="00AF7A97" w:rsidRPr="00E93C17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Увеличить долю визуального контента (инфографика, видеоклипы, сторис) до 40-50% от общего объема публикаций. Внедрить регулярные интерактивные форматы (опросы,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Q</w:t>
            </w:r>
            <w:r w:rsidRPr="00E93C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&amp;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прямые эфиры). Разработать контент-план с балансом тематик. </w:t>
            </w:r>
          </w:p>
        </w:tc>
        <w:tc>
          <w:tcPr>
            <w:tcW w:w="3115" w:type="dxa"/>
          </w:tcPr>
          <w:p w14:paraId="582D4553" w14:textId="77777777" w:rsidR="00AF7A97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Рост вовлеченности аудитории, увеличение охвата. Балансировка тематического присутствия.</w:t>
            </w:r>
          </w:p>
        </w:tc>
      </w:tr>
      <w:tr w:rsidR="00AF7A97" w14:paraId="4DDA353C" w14:textId="77777777" w:rsidTr="00F71711">
        <w:tc>
          <w:tcPr>
            <w:tcW w:w="3115" w:type="dxa"/>
          </w:tcPr>
          <w:p w14:paraId="5B0FE1C4" w14:textId="77777777" w:rsidR="00AF7A97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Работа с аудиторией</w:t>
            </w:r>
          </w:p>
        </w:tc>
        <w:tc>
          <w:tcPr>
            <w:tcW w:w="3115" w:type="dxa"/>
          </w:tcPr>
          <w:p w14:paraId="0B5501E2" w14:textId="77777777" w:rsidR="00AF7A97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Внедрить систему публичной отчетности (ежемесячные отчеты в 3 форматах: текст + фото + видео. Запустить программу «История изменений» с кейсами благополучателей. Разработать геймифицированную систему волонтерского участия.</w:t>
            </w:r>
          </w:p>
        </w:tc>
        <w:tc>
          <w:tcPr>
            <w:tcW w:w="3115" w:type="dxa"/>
          </w:tcPr>
          <w:p w14:paraId="5736013C" w14:textId="77777777" w:rsidR="00AF7A97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Рост доверия со стороны целевой аудитории. Увеличение конверсии в волонтеры. Улучшение лояльности аудитории.</w:t>
            </w:r>
          </w:p>
        </w:tc>
      </w:tr>
      <w:tr w:rsidR="00AF7A97" w14:paraId="5D8D97B9" w14:textId="77777777" w:rsidTr="00F71711">
        <w:tc>
          <w:tcPr>
            <w:tcW w:w="3115" w:type="dxa"/>
          </w:tcPr>
          <w:p w14:paraId="473921DA" w14:textId="77777777" w:rsidR="00AF7A97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Техническая оптимизация</w:t>
            </w:r>
          </w:p>
        </w:tc>
        <w:tc>
          <w:tcPr>
            <w:tcW w:w="3115" w:type="dxa"/>
          </w:tcPr>
          <w:p w14:paraId="75D486FA" w14:textId="77777777" w:rsidR="00AF7A97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Автоматизировать обработку обратной связи через чат-боты. Внедрить систему сквозной аналитики.</w:t>
            </w:r>
          </w:p>
        </w:tc>
        <w:tc>
          <w:tcPr>
            <w:tcW w:w="3115" w:type="dxa"/>
          </w:tcPr>
          <w:p w14:paraId="754B1C67" w14:textId="77777777" w:rsidR="00AF7A97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Сокращение времени обработки запросов. Улучшение пользовательного опыта. </w:t>
            </w:r>
          </w:p>
        </w:tc>
      </w:tr>
      <w:tr w:rsidR="00AF7A97" w14:paraId="508DE585" w14:textId="77777777" w:rsidTr="00F71711">
        <w:tc>
          <w:tcPr>
            <w:tcW w:w="3115" w:type="dxa"/>
          </w:tcPr>
          <w:p w14:paraId="1C027B3C" w14:textId="77777777" w:rsidR="00AF7A97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Персональные компетенции</w:t>
            </w:r>
          </w:p>
        </w:tc>
        <w:tc>
          <w:tcPr>
            <w:tcW w:w="3115" w:type="dxa"/>
          </w:tcPr>
          <w:p w14:paraId="263E7D46" w14:textId="77777777" w:rsidR="00AF7A97" w:rsidRPr="00C13519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Провести тренинг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digital</w:t>
            </w:r>
            <w:r w:rsidRPr="00C135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коммуникация для сотрудников. Создать медиа-волонтерский клуб из активных подписчиков. Разработать план по визуальному стилю коммуникаций.</w:t>
            </w:r>
          </w:p>
        </w:tc>
        <w:tc>
          <w:tcPr>
            <w:tcW w:w="3115" w:type="dxa"/>
          </w:tcPr>
          <w:p w14:paraId="46589D0D" w14:textId="77777777" w:rsidR="00AF7A97" w:rsidRDefault="00AF7A97" w:rsidP="00AF7A9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Повышение качества контента. Увеличение частоты публикаций. Укрепление корпоративного стиля.</w:t>
            </w:r>
          </w:p>
        </w:tc>
      </w:tr>
    </w:tbl>
    <w:p w14:paraId="6EAB0B6F" w14:textId="77777777" w:rsidR="00AF7A97" w:rsidRDefault="00AF7A97" w:rsidP="00AF7A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64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32E2A5A6" w14:textId="77777777" w:rsidR="00AF7A97" w:rsidRPr="00C13519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13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Предложенные рекомендации носят комплексный характер и требуют поэтапной реализации. В краткосрочной перспективе (3-6 месяцев) приоритет следует отдать:  </w:t>
      </w:r>
    </w:p>
    <w:p w14:paraId="3BF9A2C1" w14:textId="77777777" w:rsidR="00AF7A97" w:rsidRPr="00C13519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13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Быстрым изменениям: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</w:t>
      </w:r>
      <w:r w:rsidRPr="00C13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ерераспределению контент-потока в пользу визуальных форматов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</w:t>
      </w:r>
      <w:r w:rsidRPr="00C13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апуску системы публичной отчетности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</w:t>
      </w:r>
      <w:r w:rsidRPr="00C13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бучению сотрудников основам SMM  </w:t>
      </w:r>
    </w:p>
    <w:p w14:paraId="72E58A98" w14:textId="77777777" w:rsidR="00AF7A97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13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Среднесрочным проектам (6-12 месяцев):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r w:rsidRPr="00C13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азработке гайдлайна бренд-коммуникаций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</w:t>
      </w:r>
      <w:r w:rsidRPr="00C13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озданию медиа-волонтерского 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луба, в</w:t>
      </w:r>
      <w:r w:rsidRPr="00C13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недрению сквозной аналитики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494B2EB" w14:textId="77777777" w:rsidR="00AF7A97" w:rsidRDefault="00AF7A97" w:rsidP="00AF7A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68968C" w14:textId="77777777" w:rsidR="00AF7A97" w:rsidRDefault="00AF7A97" w:rsidP="00AF7A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C2CBC2" w14:textId="77777777" w:rsidR="00AF7A97" w:rsidRDefault="00AF7A97" w:rsidP="00AF7A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DE6A39" w14:textId="77777777" w:rsidR="00AF7A97" w:rsidRDefault="00AF7A97" w:rsidP="00AF7A9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" w:name="_Toc197978630"/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СПИСОК ИСПОЛЬЗОВАННОЙ ЛИТЕРАТУРЫ</w:t>
      </w:r>
      <w:bookmarkEnd w:id="5"/>
    </w:p>
    <w:p w14:paraId="009DF337" w14:textId="77777777" w:rsidR="00AF7A97" w:rsidRPr="00317A91" w:rsidRDefault="00AF7A97" w:rsidP="00AF7A97">
      <w:pPr>
        <w:spacing w:line="240" w:lineRule="auto"/>
        <w:rPr>
          <w:lang w:eastAsia="ru-RU"/>
        </w:rPr>
      </w:pPr>
    </w:p>
    <w:p w14:paraId="468824AD" w14:textId="77777777" w:rsidR="00AF7A97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закон от 27 декабря 1991 г. </w:t>
      </w: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N</w:t>
      </w: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2124-1 – «О средствах массовой информации» \ КонсультантПлюс (</w:t>
      </w: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consultant</w:t>
      </w: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ru</w:t>
      </w: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14:paraId="6FF3D451" w14:textId="77777777" w:rsidR="00AF7A97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закон от 12 января 1996 г. N 7-ФЗ – «О некоммерческих организациях» \ КонсультантПлюс (consultant.ru)</w:t>
      </w:r>
    </w:p>
    <w:p w14:paraId="732AC8B1" w14:textId="77777777" w:rsidR="00AF7A97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Баркалова О., Белокрыльцева А., Ганжа И., Долгов С., Муравьева В., Проппер М., Рубашкина С., Тополева Е., Шувалова Н. Методические (информационные) материалы для СО НКО по взаимодействию со СМИ и органами власти. – М., 2011.</w:t>
      </w:r>
    </w:p>
    <w:p w14:paraId="7843327D" w14:textId="77777777" w:rsidR="00AF7A97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Володина О.И. Инструменты продвижения некоммерческих проектов в сети Интернет: современные тренды // Коммуникология: электронный научный журнал. 2017. Т. 2, № 1. С. 92–104.</w:t>
      </w:r>
    </w:p>
    <w:p w14:paraId="44F4D0B5" w14:textId="77777777" w:rsidR="00AF7A97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Градосельская Г.В., Шариков А.В.  Цифровые коммуникации социальных организаций. - М.: Изд-во НИУ ВШЭ, 2022. - 278 с.</w:t>
      </w:r>
    </w:p>
    <w:p w14:paraId="6AAA8A0C" w14:textId="77777777" w:rsidR="00AF7A97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Поджидаева А.Ю.  Гражданско-цифровое просвещение как одно из ведущих направлений реализации социальных и гражданских инициатив НКО в развитии гражданского общества // Социальная реальность виртуального пространства. материалы IV Международной научной конференции. Иркутск, 2022. С. 115–119.</w:t>
      </w:r>
    </w:p>
    <w:p w14:paraId="3F1A216B" w14:textId="77777777" w:rsidR="00AF7A97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Сапонова А.В., Задорин И.В. «Хорошими делами прославиться нельзя»: проблемы репрезентации в СМИ деятельности некоммерческого сектора во время пандемии COVID-19 в России // Мониторинг общественного мнения: экономические и социальные перемены. 2021. № 2. С.423–444.</w:t>
      </w:r>
    </w:p>
    <w:p w14:paraId="6880CC87" w14:textId="77777777" w:rsidR="00AF7A97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Скокова Ю., Корнеева И., Краснопольская И., Гусева П. Д., Рыбникова М. А., Фадеев С. О., Зелинская А. И. Цифровизация некоммерческого сектора: готовность, барьеры и эффекты. М., 2021.</w:t>
      </w:r>
    </w:p>
    <w:p w14:paraId="388DACC3" w14:textId="77777777" w:rsidR="00AF7A97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Старшинова А.В., Архипова Е.Б., Бородкина О.И. Паттерны взаимодействия российских граждан с НКО в условиях институциональных изменений третьего сектора // Журнал институциональных исследований. Т. 14. 2022. № 4. С. 42–55.</w:t>
      </w:r>
    </w:p>
    <w:p w14:paraId="1E65D073" w14:textId="77777777" w:rsidR="00AF7A97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Трескин П.А. Цифровизация работы НКО как социальная угроза и/или перспектива развития // Методология предотвращения угроз в XXI веке. Сборник научных трудов. Иркутск, ИГУ, 2022. С. 353–356.</w:t>
      </w:r>
    </w:p>
    <w:p w14:paraId="573939A4" w14:textId="77777777" w:rsidR="00AF7A97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Шарковская А. В. Коммуникативные стратегии НКО в цифровой среде // Мониторинг общественного мнения: экономические и социальные перемены. №2. 2021</w:t>
      </w:r>
    </w:p>
    <w:p w14:paraId="51E45509" w14:textId="1128A15A" w:rsidR="009045D2" w:rsidRPr="00AF7A97" w:rsidRDefault="00AF7A97" w:rsidP="00AF7A97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AF7A9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Guo C., Saxton G. D. Tweeting social change: How social media are changing nonprofit advocacy. Nonprofit and Voluntary Sector Quarterly, 2014, vol. 43, no. 1, pp. 57-79.</w:t>
      </w:r>
    </w:p>
    <w:p w14:paraId="24E1EC01" w14:textId="77777777" w:rsidR="009045D2" w:rsidRPr="00AF7A97" w:rsidRDefault="009045D2" w:rsidP="00AF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0767FD7F" w14:textId="77777777" w:rsidR="009045D2" w:rsidRPr="00AF7A97" w:rsidRDefault="009045D2" w:rsidP="00AF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14:paraId="18F94EF3" w14:textId="77777777" w:rsidR="009B768C" w:rsidRPr="00AF7A97" w:rsidRDefault="009B768C">
      <w:pPr>
        <w:rPr>
          <w:lang w:val="en-US"/>
        </w:rPr>
      </w:pPr>
    </w:p>
    <w:sectPr w:rsidR="009B768C" w:rsidRPr="00AF7A97" w:rsidSect="00AF7A97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1EE30" w14:textId="77777777" w:rsidR="00766E4C" w:rsidRDefault="00766E4C" w:rsidP="0056230A">
      <w:pPr>
        <w:spacing w:after="0" w:line="240" w:lineRule="auto"/>
      </w:pPr>
      <w:r>
        <w:separator/>
      </w:r>
    </w:p>
  </w:endnote>
  <w:endnote w:type="continuationSeparator" w:id="0">
    <w:p w14:paraId="5CD36B4B" w14:textId="77777777" w:rsidR="00766E4C" w:rsidRDefault="00766E4C" w:rsidP="0056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243375"/>
      <w:docPartObj>
        <w:docPartGallery w:val="Page Numbers (Bottom of Page)"/>
        <w:docPartUnique/>
      </w:docPartObj>
    </w:sdtPr>
    <w:sdtContent>
      <w:p w14:paraId="620CD0FB" w14:textId="506A0C60" w:rsidR="009045D2" w:rsidRDefault="009045D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7DE46" w14:textId="77777777" w:rsidR="009045D2" w:rsidRDefault="009045D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8851" w14:textId="77777777" w:rsidR="00766E4C" w:rsidRDefault="00766E4C" w:rsidP="0056230A">
      <w:pPr>
        <w:spacing w:after="0" w:line="240" w:lineRule="auto"/>
      </w:pPr>
      <w:r>
        <w:separator/>
      </w:r>
    </w:p>
  </w:footnote>
  <w:footnote w:type="continuationSeparator" w:id="0">
    <w:p w14:paraId="38A54CB9" w14:textId="77777777" w:rsidR="00766E4C" w:rsidRDefault="00766E4C" w:rsidP="0056230A">
      <w:pPr>
        <w:spacing w:after="0" w:line="240" w:lineRule="auto"/>
      </w:pPr>
      <w:r>
        <w:continuationSeparator/>
      </w:r>
    </w:p>
  </w:footnote>
  <w:footnote w:id="1">
    <w:p w14:paraId="0CB74F22" w14:textId="77777777" w:rsidR="0056230A" w:rsidRPr="004F246A" w:rsidRDefault="0056230A" w:rsidP="0056230A">
      <w:pPr>
        <w:pStyle w:val="ac"/>
      </w:pPr>
      <w:r>
        <w:rPr>
          <w:rStyle w:val="ae"/>
        </w:rPr>
        <w:footnoteRef/>
      </w:r>
      <w:r>
        <w:t xml:space="preserve"> </w:t>
      </w:r>
      <w:r w:rsidRPr="0039348F">
        <w:rPr>
          <w:rFonts w:ascii="Times New Roman" w:hAnsi="Times New Roman" w:cs="Times New Roman"/>
          <w:sz w:val="24"/>
          <w:szCs w:val="24"/>
        </w:rPr>
        <w:t>Скокова Ю., Корнеева И., Краснопольская И., Гусева П. Д., Рыбникова М. А., Фадеев С. О., Зелинская А. И. Цифровизация некоммерческого сектора: готовность, барьеры и эффекты. М., 2021</w:t>
      </w:r>
    </w:p>
  </w:footnote>
  <w:footnote w:id="2">
    <w:p w14:paraId="218E8E76" w14:textId="77777777" w:rsidR="009045D2" w:rsidRPr="003C4174" w:rsidRDefault="009045D2" w:rsidP="009045D2">
      <w:pPr>
        <w:pStyle w:val="ac"/>
        <w:rPr>
          <w:rFonts w:ascii="Times New Roman" w:hAnsi="Times New Roman" w:cs="Times New Roman"/>
          <w:sz w:val="24"/>
          <w:szCs w:val="24"/>
        </w:rPr>
      </w:pPr>
      <w:r w:rsidRPr="003C417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C4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3C4174">
        <w:rPr>
          <w:rFonts w:ascii="Times New Roman" w:hAnsi="Times New Roman" w:cs="Times New Roman"/>
          <w:sz w:val="24"/>
          <w:szCs w:val="24"/>
        </w:rPr>
        <w:t xml:space="preserve"> от 12.01.1996 №7-ФЗ «О некоммерческих организациях».</w:t>
      </w:r>
    </w:p>
  </w:footnote>
  <w:footnote w:id="3">
    <w:p w14:paraId="022FCB7E" w14:textId="77777777" w:rsidR="009045D2" w:rsidRPr="001F2F51" w:rsidRDefault="009045D2" w:rsidP="009045D2">
      <w:pPr>
        <w:pStyle w:val="ac"/>
        <w:rPr>
          <w:rFonts w:ascii="Times New Roman" w:hAnsi="Times New Roman" w:cs="Times New Roman"/>
          <w:sz w:val="24"/>
          <w:szCs w:val="24"/>
        </w:rPr>
      </w:pPr>
      <w:r w:rsidRPr="001F2F5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F2F51">
        <w:rPr>
          <w:rFonts w:ascii="Times New Roman" w:hAnsi="Times New Roman" w:cs="Times New Roman"/>
          <w:sz w:val="24"/>
          <w:szCs w:val="24"/>
        </w:rPr>
        <w:t xml:space="preserve"> О. Баркалова, А. Белокрыльцева, И. Ганжа, С. Долгов, В. Муравьева,</w:t>
      </w:r>
    </w:p>
    <w:p w14:paraId="7E9E4329" w14:textId="77777777" w:rsidR="009045D2" w:rsidRDefault="009045D2" w:rsidP="009045D2">
      <w:pPr>
        <w:pStyle w:val="ac"/>
      </w:pPr>
      <w:r w:rsidRPr="001F2F51">
        <w:rPr>
          <w:rFonts w:ascii="Times New Roman" w:hAnsi="Times New Roman" w:cs="Times New Roman"/>
          <w:sz w:val="24"/>
          <w:szCs w:val="24"/>
        </w:rPr>
        <w:t>М. Проппер, С. Рубашкина, Е. Тополева, Н. Шувалова Методические (информационные) материалы для СО НКО по взаимодействию со СМИ и органами власти. – М., 2011.</w:t>
      </w:r>
    </w:p>
  </w:footnote>
  <w:footnote w:id="4">
    <w:p w14:paraId="5A029713" w14:textId="77777777" w:rsidR="009045D2" w:rsidRDefault="009045D2" w:rsidP="009045D2">
      <w:pPr>
        <w:pStyle w:val="ac"/>
      </w:pPr>
      <w:r>
        <w:rPr>
          <w:rStyle w:val="ae"/>
        </w:rPr>
        <w:footnoteRef/>
      </w:r>
      <w:r>
        <w:t xml:space="preserve"> </w:t>
      </w:r>
      <w:r w:rsidRPr="0098507F">
        <w:rPr>
          <w:rFonts w:ascii="Times New Roman" w:hAnsi="Times New Roman" w:cs="Times New Roman"/>
          <w:sz w:val="24"/>
          <w:szCs w:val="24"/>
        </w:rPr>
        <w:t>Закон РФ от 27.12.1991 N 2124-1 (ред. от 13.06.2023) "О средствах массовой информации"</w:t>
      </w:r>
    </w:p>
  </w:footnote>
  <w:footnote w:id="5">
    <w:p w14:paraId="3821A658" w14:textId="77777777" w:rsidR="009045D2" w:rsidRPr="00F31D1F" w:rsidRDefault="009045D2" w:rsidP="009045D2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e"/>
        </w:rPr>
        <w:footnoteRef/>
      </w:r>
      <w:r>
        <w:t xml:space="preserve"> </w:t>
      </w:r>
      <w:r w:rsidRPr="00E67DC8">
        <w:rPr>
          <w:rFonts w:ascii="Times New Roman" w:hAnsi="Times New Roman" w:cs="Times New Roman"/>
          <w:sz w:val="24"/>
          <w:szCs w:val="24"/>
        </w:rPr>
        <w:t xml:space="preserve">Шарковская А. В. Коммуникативные стратегии НКО в цифровой среде // Мониторинг общественного мнения: экономические и социальные перемены. </w:t>
      </w:r>
      <w:r w:rsidRPr="00F31D1F">
        <w:rPr>
          <w:rFonts w:ascii="Times New Roman" w:hAnsi="Times New Roman" w:cs="Times New Roman"/>
          <w:sz w:val="24"/>
          <w:szCs w:val="24"/>
          <w:lang w:val="en-US"/>
        </w:rPr>
        <w:t>№2. 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25C83"/>
    <w:multiLevelType w:val="hybridMultilevel"/>
    <w:tmpl w:val="D082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A0B3D"/>
    <w:multiLevelType w:val="hybridMultilevel"/>
    <w:tmpl w:val="988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58447914">
    <w:abstractNumId w:val="1"/>
  </w:num>
  <w:num w:numId="2" w16cid:durableId="123844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8C"/>
    <w:rsid w:val="0056230A"/>
    <w:rsid w:val="006B0EB3"/>
    <w:rsid w:val="00766E4C"/>
    <w:rsid w:val="009045D2"/>
    <w:rsid w:val="009B768C"/>
    <w:rsid w:val="00AF7A97"/>
    <w:rsid w:val="00BD0C69"/>
    <w:rsid w:val="00C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B521"/>
  <w15:chartTrackingRefBased/>
  <w15:docId w15:val="{B8ACF6B9-DDEC-401D-9B5D-CAF7349E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30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7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6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6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7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6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6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76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76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76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76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76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7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7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7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76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76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76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7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76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768C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56230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6230A"/>
    <w:rPr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qFormat/>
    <w:rsid w:val="0056230A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0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045D2"/>
    <w:rPr>
      <w:kern w:val="0"/>
      <w:sz w:val="22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90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045D2"/>
    <w:rPr>
      <w:kern w:val="0"/>
      <w:sz w:val="22"/>
      <w:szCs w:val="22"/>
      <w14:ligatures w14:val="none"/>
    </w:rPr>
  </w:style>
  <w:style w:type="table" w:styleId="af3">
    <w:name w:val="Table Grid"/>
    <w:basedOn w:val="a1"/>
    <w:uiPriority w:val="39"/>
    <w:rsid w:val="00AF7A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0;&#1059;&#1056;&#1057;&#1054;&#1042;&#1040;&#1071;\&#1072;&#1085;&#1082;&#1077;&#1090;&#1072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0;&#1059;&#1056;&#1057;&#1054;&#1042;&#1040;&#1071;\&#1072;&#1085;&#1082;&#1077;&#1090;&#1072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0;&#1059;&#1056;&#1057;&#1054;&#1042;&#1040;&#1071;\&#1072;&#1085;&#1082;&#1077;&#1090;&#1072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0;&#1059;&#1056;&#1057;&#1054;&#1042;&#1040;&#1071;\&#1072;&#1085;&#1082;&#1077;&#1090;&#1072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0;&#1059;&#1056;&#1057;&#1054;&#1042;&#1040;&#1071;\&#1072;&#1085;&#1082;&#1077;&#1090;&#1072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0;&#1059;&#1056;&#1057;&#1054;&#1042;&#1040;&#1071;\&#1072;&#1085;&#1082;&#1077;&#1090;&#107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0;&#1059;&#1056;&#1057;&#1054;&#1042;&#1040;&#1071;\&#1072;&#1085;&#1082;&#1077;&#1090;&#107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0;&#1059;&#1056;&#1057;&#1054;&#1042;&#1040;&#1071;\&#1072;&#1085;&#1082;&#1077;&#1090;&#107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0;&#1059;&#1056;&#1057;&#1054;&#1042;&#1040;&#1071;\&#1072;&#1085;&#1082;&#1077;&#1090;&#107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uliya\Desktop\&#1050;&#1059;&#1056;&#1057;&#1054;&#1042;&#1040;&#1071;\&#1072;&#1085;&#1082;&#1077;&#1090;&#1072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'Распределение мат по типам'!$E$1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09-4F5D-9DB6-CBB85A354C74}"/>
              </c:ext>
            </c:extLst>
          </c:dPt>
          <c:dPt>
            <c:idx val="1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09-4F5D-9DB6-CBB85A354C74}"/>
              </c:ext>
            </c:extLst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09-4F5D-9DB6-CBB85A354C74}"/>
              </c:ext>
            </c:extLst>
          </c:dPt>
          <c:dPt>
            <c:idx val="3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F09-4F5D-9DB6-CBB85A354C74}"/>
              </c:ext>
            </c:extLst>
          </c:dPt>
          <c:dPt>
            <c:idx val="4"/>
            <c:bubble3D val="0"/>
            <c:spPr>
              <a:pattFill prst="pct30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F09-4F5D-9DB6-CBB85A354C74}"/>
              </c:ext>
            </c:extLst>
          </c:dPt>
          <c:dPt>
            <c:idx val="5"/>
            <c:bubble3D val="0"/>
            <c:spPr>
              <a:pattFill prst="narVert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F09-4F5D-9DB6-CBB85A354C74}"/>
              </c:ext>
            </c:extLst>
          </c:dPt>
          <c:dLbls>
            <c:dLbl>
              <c:idx val="0"/>
              <c:layout>
                <c:manualLayout>
                  <c:x val="1.8023319683263754E-2"/>
                  <c:y val="0.2611021535881099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09-4F5D-9DB6-CBB85A354C74}"/>
                </c:ext>
              </c:extLst>
            </c:dLbl>
            <c:dLbl>
              <c:idx val="1"/>
              <c:layout>
                <c:manualLayout>
                  <c:x val="1.4657016833986871E-2"/>
                  <c:y val="-3.740515965461658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09-4F5D-9DB6-CBB85A354C74}"/>
                </c:ext>
              </c:extLst>
            </c:dLbl>
            <c:dLbl>
              <c:idx val="2"/>
              <c:layout>
                <c:manualLayout>
                  <c:x val="3.150990162836511E-2"/>
                  <c:y val="-2.499816433147393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09-4F5D-9DB6-CBB85A354C74}"/>
                </c:ext>
              </c:extLst>
            </c:dLbl>
            <c:dLbl>
              <c:idx val="3"/>
              <c:layout>
                <c:manualLayout>
                  <c:x val="1.0651363705886156E-2"/>
                  <c:y val="3.621880197900237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F09-4F5D-9DB6-CBB85A354C74}"/>
                </c:ext>
              </c:extLst>
            </c:dLbl>
            <c:dLbl>
              <c:idx val="4"/>
              <c:layout>
                <c:manualLayout>
                  <c:x val="-1.3897037759462296E-2"/>
                  <c:y val="-5.9229893057896072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F09-4F5D-9DB6-CBB85A354C74}"/>
                </c:ext>
              </c:extLst>
            </c:dLbl>
            <c:dLbl>
              <c:idx val="5"/>
              <c:layout>
                <c:manualLayout>
                  <c:x val="-1.000318262210623E-2"/>
                  <c:y val="-1.045360127823216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F09-4F5D-9DB6-CBB85A354C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'Распределение мат по типам'!$D$2:$D$7</c:f>
              <c:strCache>
                <c:ptCount val="6"/>
                <c:pt idx="0">
                  <c:v>Текстовые новости</c:v>
                </c:pt>
                <c:pt idx="1">
                  <c:v>Видео-репортажи</c:v>
                </c:pt>
                <c:pt idx="2">
                  <c:v>Инфографика</c:v>
                </c:pt>
                <c:pt idx="3">
                  <c:v>Интервью</c:v>
                </c:pt>
                <c:pt idx="4">
                  <c:v>Видеоклипы</c:v>
                </c:pt>
                <c:pt idx="5">
                  <c:v>Фото</c:v>
                </c:pt>
              </c:strCache>
            </c:strRef>
          </c:cat>
          <c:val>
            <c:numRef>
              <c:f>'Распределение мат по типам'!$E$2:$E$7</c:f>
              <c:numCache>
                <c:formatCode>General</c:formatCode>
                <c:ptCount val="6"/>
                <c:pt idx="0">
                  <c:v>63</c:v>
                </c:pt>
                <c:pt idx="1">
                  <c:v>3</c:v>
                </c:pt>
                <c:pt idx="2">
                  <c:v>24</c:v>
                </c:pt>
                <c:pt idx="3">
                  <c:v>6</c:v>
                </c:pt>
                <c:pt idx="4">
                  <c:v>18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F09-4F5D-9DB6-CBB85A354C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pct25">
              <a:fgClr>
                <a:prstClr val="black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3.3308838968656995E-2"/>
                  <c:y val="-1.2361145541235671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13-4A6F-B57B-E41FAFD66BB8}"/>
                </c:ext>
              </c:extLst>
            </c:dLbl>
            <c:dLbl>
              <c:idx val="1"/>
              <c:layout>
                <c:manualLayout>
                  <c:x val="3.3308838968656995E-2"/>
                  <c:y val="-3.37126045588466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13-4A6F-B57B-E41FAFD66BB8}"/>
                </c:ext>
              </c:extLst>
            </c:dLbl>
            <c:dLbl>
              <c:idx val="2"/>
              <c:layout>
                <c:manualLayout>
                  <c:x val="3.526818243740167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13-4A6F-B57B-E41FAFD66BB8}"/>
                </c:ext>
              </c:extLst>
            </c:dLbl>
            <c:dLbl>
              <c:idx val="3"/>
              <c:layout>
                <c:manualLayout>
                  <c:x val="-3.9186869374890753E-3"/>
                  <c:y val="-6.180572770617835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13-4A6F-B57B-E41FAFD66BB8}"/>
                </c:ext>
              </c:extLst>
            </c:dLbl>
            <c:dLbl>
              <c:idx val="4"/>
              <c:layout>
                <c:manualLayout>
                  <c:x val="-1.4368352786355787E-16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13-4A6F-B57B-E41FAFD66BB8}"/>
                </c:ext>
              </c:extLst>
            </c:dLbl>
            <c:dLbl>
              <c:idx val="5"/>
              <c:layout>
                <c:manualLayout>
                  <c:x val="-3.918686937489218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13-4A6F-B57B-E41FAFD66B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Лист5!$A$1:$A$6</c:f>
              <c:strCache>
                <c:ptCount val="6"/>
                <c:pt idx="0">
                  <c:v>Помощь детям</c:v>
                </c:pt>
                <c:pt idx="1">
                  <c:v>Поддержка пожилых людей</c:v>
                </c:pt>
                <c:pt idx="2">
                  <c:v>Экология и защита животных</c:v>
                </c:pt>
                <c:pt idx="3">
                  <c:v>Волонтерские программы</c:v>
                </c:pt>
                <c:pt idx="4">
                  <c:v>Поддержка инвалидов и малоимущих</c:v>
                </c:pt>
                <c:pt idx="5">
                  <c:v>Правовая и психологическая помощь</c:v>
                </c:pt>
              </c:strCache>
            </c:strRef>
          </c:cat>
          <c:val>
            <c:numRef>
              <c:f>Лист5!$B$1:$B$6</c:f>
              <c:numCache>
                <c:formatCode>General</c:formatCode>
                <c:ptCount val="6"/>
                <c:pt idx="0">
                  <c:v>46</c:v>
                </c:pt>
                <c:pt idx="1">
                  <c:v>46</c:v>
                </c:pt>
                <c:pt idx="2">
                  <c:v>46</c:v>
                </c:pt>
                <c:pt idx="3">
                  <c:v>53</c:v>
                </c:pt>
                <c:pt idx="4">
                  <c:v>51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F13-4A6F-B57B-E41FAFD66BB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87888824"/>
        <c:axId val="587889544"/>
      </c:barChart>
      <c:catAx>
        <c:axId val="587888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endParaRPr lang="ru-RU"/>
          </a:p>
        </c:txPr>
        <c:crossAx val="587889544"/>
        <c:crosses val="autoZero"/>
        <c:auto val="1"/>
        <c:lblAlgn val="ctr"/>
        <c:lblOffset val="100"/>
        <c:noMultiLvlLbl val="0"/>
      </c:catAx>
      <c:valAx>
        <c:axId val="587889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888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pattFill prst="narVert">
              <a:fgClr>
                <a:prstClr val="black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ltDnDiag">
                <a:fgClr>
                  <a:prstClr val="black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0B-4122-8F01-47D55D7F5097}"/>
              </c:ext>
            </c:extLst>
          </c:dPt>
          <c:dPt>
            <c:idx val="1"/>
            <c:bubble3D val="0"/>
            <c:spPr>
              <a:pattFill prst="narVert">
                <a:fgClr>
                  <a:prstClr val="black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0B-4122-8F01-47D55D7F5097}"/>
              </c:ext>
            </c:extLst>
          </c:dPt>
          <c:dPt>
            <c:idx val="2"/>
            <c:bubble3D val="0"/>
            <c:spPr>
              <a:pattFill prst="pct25">
                <a:fgClr>
                  <a:prstClr val="black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0B-4122-8F01-47D55D7F5097}"/>
              </c:ext>
            </c:extLst>
          </c:dPt>
          <c:dPt>
            <c:idx val="3"/>
            <c:bubble3D val="0"/>
            <c:spPr>
              <a:pattFill prst="ltVert">
                <a:fgClr>
                  <a:prstClr val="black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F0B-4122-8F01-47D55D7F5097}"/>
              </c:ext>
            </c:extLst>
          </c:dPt>
          <c:dLbls>
            <c:dLbl>
              <c:idx val="0"/>
              <c:layout>
                <c:manualLayout>
                  <c:x val="3.7356299212598323E-2"/>
                  <c:y val="9.895815106445027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0B-4122-8F01-47D55D7F5097}"/>
                </c:ext>
              </c:extLst>
            </c:dLbl>
            <c:dLbl>
              <c:idx val="1"/>
              <c:layout>
                <c:manualLayout>
                  <c:x val="8.0416885389326329E-2"/>
                  <c:y val="-7.747885680956546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0B-4122-8F01-47D55D7F5097}"/>
                </c:ext>
              </c:extLst>
            </c:dLbl>
            <c:dLbl>
              <c:idx val="2"/>
              <c:layout>
                <c:manualLayout>
                  <c:x val="-2.6706255468066542E-2"/>
                  <c:y val="-3.017206182560513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0B-4122-8F01-47D55D7F5097}"/>
                </c:ext>
              </c:extLst>
            </c:dLbl>
            <c:dLbl>
              <c:idx val="3"/>
              <c:layout>
                <c:manualLayout>
                  <c:x val="-5.7427602799650042E-2"/>
                  <c:y val="5.44058034412365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0B-4122-8F01-47D55D7F50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Лист6!$A$1:$A$4</c:f>
              <c:strCache>
                <c:ptCount val="4"/>
                <c:pt idx="0">
                  <c:v>Да, и я участвовал(а)</c:v>
                </c:pt>
                <c:pt idx="1">
                  <c:v>Да, но я не стал(а) участвовать</c:v>
                </c:pt>
                <c:pt idx="2">
                  <c:v>Нет, не призывали</c:v>
                </c:pt>
                <c:pt idx="3">
                  <c:v>Не помню</c:v>
                </c:pt>
              </c:strCache>
            </c:strRef>
          </c:cat>
          <c:val>
            <c:numRef>
              <c:f>Лист6!$B$1:$B$4</c:f>
              <c:numCache>
                <c:formatCode>General</c:formatCode>
                <c:ptCount val="4"/>
                <c:pt idx="0">
                  <c:v>31</c:v>
                </c:pt>
                <c:pt idx="1">
                  <c:v>42</c:v>
                </c:pt>
                <c:pt idx="2">
                  <c:v>29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0B-4122-8F01-47D55D7F509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" panose="02020603050405020304" pitchFamily="18" charset="0"/>
              <a:ea typeface="+mn-ea"/>
              <a:cs typeface="times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pct25">
              <a:fgClr>
                <a:prstClr val="black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19-46A9-922B-3EE921BA164B}"/>
                </c:ext>
              </c:extLst>
            </c:dLbl>
            <c:dLbl>
              <c:idx val="1"/>
              <c:layout>
                <c:manualLayout>
                  <c:x val="2.77777777777777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19-46A9-922B-3EE921BA164B}"/>
                </c:ext>
              </c:extLst>
            </c:dLbl>
            <c:dLbl>
              <c:idx val="2"/>
              <c:layout>
                <c:manualLayout>
                  <c:x val="5.55555555555555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19-46A9-922B-3EE921BA164B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19-46A9-922B-3EE921BA164B}"/>
                </c:ext>
              </c:extLst>
            </c:dLbl>
            <c:dLbl>
              <c:idx val="4"/>
              <c:layout>
                <c:manualLayout>
                  <c:x val="1.43523622047244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A19-46A9-922B-3EE921BA16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Лист7!$A$1:$A$5</c:f>
              <c:strCache>
                <c:ptCount val="5"/>
                <c:pt idx="0">
                  <c:v>Регулярные отчёты о результатах работы</c:v>
                </c:pt>
                <c:pt idx="1">
                  <c:v>Интерактивный контент (тесты, квизы,голосования)</c:v>
                </c:pt>
                <c:pt idx="2">
                  <c:v>Личные истории подопечных</c:v>
                </c:pt>
                <c:pt idx="3">
                  <c:v>Ничего, я не планирую участвовать</c:v>
                </c:pt>
                <c:pt idx="4">
                  <c:v>Другое</c:v>
                </c:pt>
              </c:strCache>
            </c:strRef>
          </c:cat>
          <c:val>
            <c:numRef>
              <c:f>Лист7!$B$1:$B$5</c:f>
              <c:numCache>
                <c:formatCode>General</c:formatCode>
                <c:ptCount val="5"/>
                <c:pt idx="0">
                  <c:v>33</c:v>
                </c:pt>
                <c:pt idx="1">
                  <c:v>34</c:v>
                </c:pt>
                <c:pt idx="2">
                  <c:v>28</c:v>
                </c:pt>
                <c:pt idx="3">
                  <c:v>15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A19-46A9-922B-3EE921BA164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19947880"/>
        <c:axId val="619944280"/>
      </c:barChart>
      <c:catAx>
        <c:axId val="619947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endParaRPr lang="ru-RU"/>
          </a:p>
        </c:txPr>
        <c:crossAx val="619944280"/>
        <c:crosses val="autoZero"/>
        <c:auto val="1"/>
        <c:lblAlgn val="ctr"/>
        <c:lblOffset val="100"/>
        <c:noMultiLvlLbl val="0"/>
      </c:catAx>
      <c:valAx>
        <c:axId val="619944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9947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ltDnDiag">
              <a:fgClr>
                <a:prstClr val="black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5.555555555555453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FB-44C5-9072-D47509318518}"/>
                </c:ext>
              </c:extLst>
            </c:dLbl>
            <c:dLbl>
              <c:idx val="1"/>
              <c:layout>
                <c:manualLayout>
                  <c:x val="-1.0185067526415994E-16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FB-44C5-9072-D47509318518}"/>
                </c:ext>
              </c:extLst>
            </c:dLbl>
            <c:dLbl>
              <c:idx val="2"/>
              <c:layout>
                <c:manualLayout>
                  <c:x val="2.77777777777777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FB-44C5-9072-D47509318518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FB-44C5-9072-D47509318518}"/>
                </c:ext>
              </c:extLst>
            </c:dLbl>
            <c:dLbl>
              <c:idx val="4"/>
              <c:layout>
                <c:manualLayout>
                  <c:x val="-5.55555555555555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FB-44C5-9072-D47509318518}"/>
                </c:ext>
              </c:extLst>
            </c:dLbl>
            <c:dLbl>
              <c:idx val="5"/>
              <c:layout>
                <c:manualLayout>
                  <c:x val="9.4024496937882771E-3"/>
                  <c:y val="-1.06094453400166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FB-44C5-9072-D475093185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Лист8!$A$1:$A$6</c:f>
              <c:strCache>
                <c:ptCount val="6"/>
                <c:pt idx="0">
                  <c:v>VK (ВКонтакте)</c:v>
                </c:pt>
                <c:pt idx="1">
                  <c:v>Telegram</c:v>
                </c:pt>
                <c:pt idx="2">
                  <c:v>Instagram (Meta признан в России экстремистской организацией)</c:v>
                </c:pt>
                <c:pt idx="3">
                  <c:v>Одноклассники</c:v>
                </c:pt>
                <c:pt idx="4">
                  <c:v>TikTok</c:v>
                </c:pt>
                <c:pt idx="5">
                  <c:v>Другое</c:v>
                </c:pt>
              </c:strCache>
            </c:strRef>
          </c:cat>
          <c:val>
            <c:numRef>
              <c:f>Лист8!$B$1:$B$6</c:f>
              <c:numCache>
                <c:formatCode>General</c:formatCode>
                <c:ptCount val="6"/>
                <c:pt idx="0">
                  <c:v>97</c:v>
                </c:pt>
                <c:pt idx="1">
                  <c:v>76</c:v>
                </c:pt>
                <c:pt idx="2">
                  <c:v>26</c:v>
                </c:pt>
                <c:pt idx="3">
                  <c:v>28</c:v>
                </c:pt>
                <c:pt idx="4">
                  <c:v>22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4FB-44C5-9072-D4750931851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71714728"/>
        <c:axId val="471714008"/>
      </c:barChart>
      <c:catAx>
        <c:axId val="471714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endParaRPr lang="ru-RU"/>
          </a:p>
        </c:txPr>
        <c:crossAx val="471714008"/>
        <c:crosses val="autoZero"/>
        <c:auto val="1"/>
        <c:lblAlgn val="ctr"/>
        <c:lblOffset val="100"/>
        <c:noMultiLvlLbl val="0"/>
      </c:catAx>
      <c:valAx>
        <c:axId val="471714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714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pattFill prst="pct5">
              <a:fgClr>
                <a:prstClr val="black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pct25">
                <a:fgClr>
                  <a:prstClr val="black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81-4709-925B-15709F90B2A2}"/>
              </c:ext>
            </c:extLst>
          </c:dPt>
          <c:dPt>
            <c:idx val="1"/>
            <c:bubble3D val="0"/>
            <c:spPr>
              <a:pattFill prst="pct30">
                <a:fgClr>
                  <a:prstClr val="black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81-4709-925B-15709F90B2A2}"/>
              </c:ext>
            </c:extLst>
          </c:dPt>
          <c:dPt>
            <c:idx val="2"/>
            <c:bubble3D val="0"/>
            <c:spPr>
              <a:pattFill prst="ltDnDiag">
                <a:fgClr>
                  <a:prstClr val="black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81-4709-925B-15709F90B2A2}"/>
              </c:ext>
            </c:extLst>
          </c:dPt>
          <c:dPt>
            <c:idx val="3"/>
            <c:bubble3D val="0"/>
            <c:spPr>
              <a:pattFill prst="pct20">
                <a:fgClr>
                  <a:prstClr val="black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81-4709-925B-15709F90B2A2}"/>
              </c:ext>
            </c:extLst>
          </c:dPt>
          <c:dLbls>
            <c:dLbl>
              <c:idx val="0"/>
              <c:layout>
                <c:manualLayout>
                  <c:x val="3.923053368328959E-2"/>
                  <c:y val="4.972440944881888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81-4709-925B-15709F90B2A2}"/>
                </c:ext>
              </c:extLst>
            </c:dLbl>
            <c:dLbl>
              <c:idx val="1"/>
              <c:layout>
                <c:manualLayout>
                  <c:x val="6.861329833770779E-4"/>
                  <c:y val="2.6133347914843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81-4709-925B-15709F90B2A2}"/>
                </c:ext>
              </c:extLst>
            </c:dLbl>
            <c:dLbl>
              <c:idx val="2"/>
              <c:layout>
                <c:manualLayout>
                  <c:x val="-8.1208005249343851E-2"/>
                  <c:y val="-0.1531368474773987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81-4709-925B-15709F90B2A2}"/>
                </c:ext>
              </c:extLst>
            </c:dLbl>
            <c:dLbl>
              <c:idx val="3"/>
              <c:layout>
                <c:manualLayout>
                  <c:x val="-8.5447944006999121E-2"/>
                  <c:y val="3.053878681831436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81-4709-925B-15709F90B2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Лист9!$A$1:$A$4</c:f>
              <c:strCache>
                <c:ptCount val="4"/>
                <c:pt idx="0">
                  <c:v>от 18 до 25 </c:v>
                </c:pt>
                <c:pt idx="1">
                  <c:v>от 26 до 32</c:v>
                </c:pt>
                <c:pt idx="2">
                  <c:v>от 33 до 45</c:v>
                </c:pt>
                <c:pt idx="3">
                  <c:v>45+</c:v>
                </c:pt>
              </c:strCache>
            </c:strRef>
          </c:cat>
          <c:val>
            <c:numRef>
              <c:f>Лист9!$B$1:$B$4</c:f>
              <c:numCache>
                <c:formatCode>General</c:formatCode>
                <c:ptCount val="4"/>
                <c:pt idx="0">
                  <c:v>14</c:v>
                </c:pt>
                <c:pt idx="1">
                  <c:v>24</c:v>
                </c:pt>
                <c:pt idx="2">
                  <c:v>68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81-4709-925B-15709F90B2A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" panose="02020603050405020304" pitchFamily="18" charset="0"/>
              <a:ea typeface="+mn-ea"/>
              <a:cs typeface="times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'Распределение мат по типам'!$E$1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'Распределение мат по типам'!$D$2:$D$7</c:f>
              <c:strCache>
                <c:ptCount val="6"/>
                <c:pt idx="0">
                  <c:v>Текстовые новости</c:v>
                </c:pt>
                <c:pt idx="1">
                  <c:v>Видео-репортажи</c:v>
                </c:pt>
                <c:pt idx="2">
                  <c:v>Инфографика</c:v>
                </c:pt>
                <c:pt idx="3">
                  <c:v>Интервью</c:v>
                </c:pt>
                <c:pt idx="4">
                  <c:v>Видеоклипы</c:v>
                </c:pt>
                <c:pt idx="5">
                  <c:v>Фото</c:v>
                </c:pt>
              </c:strCache>
            </c:strRef>
          </c:cat>
          <c:val>
            <c:numRef>
              <c:f>'Распределение мат по типам'!$E$2:$E$7</c:f>
              <c:numCache>
                <c:formatCode>General</c:formatCode>
                <c:ptCount val="6"/>
                <c:pt idx="0">
                  <c:v>63</c:v>
                </c:pt>
                <c:pt idx="1">
                  <c:v>3</c:v>
                </c:pt>
                <c:pt idx="2">
                  <c:v>24</c:v>
                </c:pt>
                <c:pt idx="3">
                  <c:v>6</c:v>
                </c:pt>
                <c:pt idx="4">
                  <c:v>18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12-4EFC-92CD-C4E3AD67566E}"/>
            </c:ext>
          </c:extLst>
        </c:ser>
        <c:ser>
          <c:idx val="1"/>
          <c:order val="1"/>
          <c:tx>
            <c:strRef>
              <c:f>'Распределение мат по типам'!$F$1</c:f>
              <c:strCache>
                <c:ptCount val="1"/>
                <c:pt idx="0">
                  <c:v>Средний охват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'Распределение мат по типам'!$D$2:$D$7</c:f>
              <c:strCache>
                <c:ptCount val="6"/>
                <c:pt idx="0">
                  <c:v>Текстовые новости</c:v>
                </c:pt>
                <c:pt idx="1">
                  <c:v>Видео-репортажи</c:v>
                </c:pt>
                <c:pt idx="2">
                  <c:v>Инфографика</c:v>
                </c:pt>
                <c:pt idx="3">
                  <c:v>Интервью</c:v>
                </c:pt>
                <c:pt idx="4">
                  <c:v>Видеоклипы</c:v>
                </c:pt>
                <c:pt idx="5">
                  <c:v>Фото</c:v>
                </c:pt>
              </c:strCache>
            </c:strRef>
          </c:cat>
          <c:val>
            <c:numRef>
              <c:f>'Распределение мат по типам'!$F$2:$F$7</c:f>
              <c:numCache>
                <c:formatCode>General</c:formatCode>
                <c:ptCount val="6"/>
                <c:pt idx="0">
                  <c:v>310</c:v>
                </c:pt>
                <c:pt idx="1">
                  <c:v>200</c:v>
                </c:pt>
                <c:pt idx="2">
                  <c:v>500</c:v>
                </c:pt>
                <c:pt idx="3">
                  <c:v>420</c:v>
                </c:pt>
                <c:pt idx="4">
                  <c:v>450</c:v>
                </c:pt>
                <c:pt idx="5">
                  <c:v>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12-4EFC-92CD-C4E3AD67566E}"/>
            </c:ext>
          </c:extLst>
        </c:ser>
        <c:ser>
          <c:idx val="2"/>
          <c:order val="2"/>
          <c:tx>
            <c:strRef>
              <c:f>'Распределение мат по типам'!$G$1</c:f>
              <c:strCache>
                <c:ptCount val="1"/>
                <c:pt idx="0">
                  <c:v>Лайки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'Распределение мат по типам'!$D$2:$D$7</c:f>
              <c:strCache>
                <c:ptCount val="6"/>
                <c:pt idx="0">
                  <c:v>Текстовые новости</c:v>
                </c:pt>
                <c:pt idx="1">
                  <c:v>Видео-репортажи</c:v>
                </c:pt>
                <c:pt idx="2">
                  <c:v>Инфографика</c:v>
                </c:pt>
                <c:pt idx="3">
                  <c:v>Интервью</c:v>
                </c:pt>
                <c:pt idx="4">
                  <c:v>Видеоклипы</c:v>
                </c:pt>
                <c:pt idx="5">
                  <c:v>Фото</c:v>
                </c:pt>
              </c:strCache>
            </c:strRef>
          </c:cat>
          <c:val>
            <c:numRef>
              <c:f>'Распределение мат по типам'!$G$2:$G$7</c:f>
              <c:numCache>
                <c:formatCode>General</c:formatCode>
                <c:ptCount val="6"/>
                <c:pt idx="0">
                  <c:v>26</c:v>
                </c:pt>
                <c:pt idx="1">
                  <c:v>17</c:v>
                </c:pt>
                <c:pt idx="2">
                  <c:v>28</c:v>
                </c:pt>
                <c:pt idx="3">
                  <c:v>34</c:v>
                </c:pt>
                <c:pt idx="4">
                  <c:v>34</c:v>
                </c:pt>
                <c:pt idx="5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12-4EFC-92CD-C4E3AD67566E}"/>
            </c:ext>
          </c:extLst>
        </c:ser>
        <c:ser>
          <c:idx val="3"/>
          <c:order val="3"/>
          <c:tx>
            <c:strRef>
              <c:f>'Распределение мат по типам'!$H$1</c:f>
              <c:strCache>
                <c:ptCount val="1"/>
                <c:pt idx="0">
                  <c:v>Репосты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'Распределение мат по типам'!$D$2:$D$7</c:f>
              <c:strCache>
                <c:ptCount val="6"/>
                <c:pt idx="0">
                  <c:v>Текстовые новости</c:v>
                </c:pt>
                <c:pt idx="1">
                  <c:v>Видео-репортажи</c:v>
                </c:pt>
                <c:pt idx="2">
                  <c:v>Инфографика</c:v>
                </c:pt>
                <c:pt idx="3">
                  <c:v>Интервью</c:v>
                </c:pt>
                <c:pt idx="4">
                  <c:v>Видеоклипы</c:v>
                </c:pt>
                <c:pt idx="5">
                  <c:v>Фото</c:v>
                </c:pt>
              </c:strCache>
            </c:strRef>
          </c:cat>
          <c:val>
            <c:numRef>
              <c:f>'Распределение мат по типам'!$H$2:$H$7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12-4EFC-92CD-C4E3AD67566E}"/>
            </c:ext>
          </c:extLst>
        </c:ser>
        <c:ser>
          <c:idx val="4"/>
          <c:order val="4"/>
          <c:tx>
            <c:strRef>
              <c:f>'Распределение мат по типам'!$I$1</c:f>
              <c:strCache>
                <c:ptCount val="1"/>
                <c:pt idx="0">
                  <c:v>Комментарии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'Распределение мат по типам'!$D$2:$D$7</c:f>
              <c:strCache>
                <c:ptCount val="6"/>
                <c:pt idx="0">
                  <c:v>Текстовые новости</c:v>
                </c:pt>
                <c:pt idx="1">
                  <c:v>Видео-репортажи</c:v>
                </c:pt>
                <c:pt idx="2">
                  <c:v>Инфографика</c:v>
                </c:pt>
                <c:pt idx="3">
                  <c:v>Интервью</c:v>
                </c:pt>
                <c:pt idx="4">
                  <c:v>Видеоклипы</c:v>
                </c:pt>
                <c:pt idx="5">
                  <c:v>Фото</c:v>
                </c:pt>
              </c:strCache>
            </c:strRef>
          </c:cat>
          <c:val>
            <c:numRef>
              <c:f>'Распределение мат по типам'!$I$2:$I$7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12-4EFC-92CD-C4E3AD675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9743840"/>
        <c:axId val="649744920"/>
      </c:barChart>
      <c:catAx>
        <c:axId val="649743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9744920"/>
        <c:crosses val="autoZero"/>
        <c:auto val="1"/>
        <c:lblAlgn val="ctr"/>
        <c:lblOffset val="100"/>
        <c:noMultiLvlLbl val="0"/>
      </c:catAx>
      <c:valAx>
        <c:axId val="649744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974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'Распределение по тематике'!$B$1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52-492C-A989-50663C5B9EE9}"/>
              </c:ext>
            </c:extLst>
          </c:dPt>
          <c:dPt>
            <c:idx val="1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52-492C-A989-50663C5B9EE9}"/>
              </c:ext>
            </c:extLst>
          </c:dPt>
          <c:dPt>
            <c:idx val="2"/>
            <c:bubble3D val="0"/>
            <c:spPr>
              <a:pattFill prst="pct2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52-492C-A989-50663C5B9EE9}"/>
              </c:ext>
            </c:extLst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52-492C-A989-50663C5B9EE9}"/>
              </c:ext>
            </c:extLst>
          </c:dPt>
          <c:dLbls>
            <c:dLbl>
              <c:idx val="0"/>
              <c:layout>
                <c:manualLayout>
                  <c:x val="6.5967393045784195E-2"/>
                  <c:y val="5.156717042265304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52-492C-A989-50663C5B9EE9}"/>
                </c:ext>
              </c:extLst>
            </c:dLbl>
            <c:dLbl>
              <c:idx val="1"/>
              <c:layout>
                <c:manualLayout>
                  <c:x val="4.5192265502290295E-2"/>
                  <c:y val="0.1088895264026124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52-492C-A989-50663C5B9EE9}"/>
                </c:ext>
              </c:extLst>
            </c:dLbl>
            <c:dLbl>
              <c:idx val="2"/>
              <c:layout>
                <c:manualLayout>
                  <c:x val="0.17821726750704353"/>
                  <c:y val="-0.2561768670860424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52-492C-A989-50663C5B9EE9}"/>
                </c:ext>
              </c:extLst>
            </c:dLbl>
            <c:dLbl>
              <c:idx val="3"/>
              <c:layout>
                <c:manualLayout>
                  <c:x val="-3.7369272857086896E-2"/>
                  <c:y val="7.569430362430240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52-492C-A989-50663C5B9E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'Распределение по тематике'!$A$2:$A$5</c:f>
              <c:strCache>
                <c:ptCount val="4"/>
                <c:pt idx="0">
                  <c:v>Помощь детям</c:v>
                </c:pt>
                <c:pt idx="1">
                  <c:v>Экология</c:v>
                </c:pt>
                <c:pt idx="2">
                  <c:v>Соцзащита</c:v>
                </c:pt>
                <c:pt idx="3">
                  <c:v>Волонтерство</c:v>
                </c:pt>
              </c:strCache>
            </c:strRef>
          </c:cat>
          <c:val>
            <c:numRef>
              <c:f>'Распределение по тематике'!$B$2:$B$5</c:f>
              <c:numCache>
                <c:formatCode>General</c:formatCode>
                <c:ptCount val="4"/>
                <c:pt idx="0">
                  <c:v>3</c:v>
                </c:pt>
                <c:pt idx="1">
                  <c:v>12</c:v>
                </c:pt>
                <c:pt idx="2">
                  <c:v>34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952-492C-A989-50663C5B9EE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'призывы к действию'!$B$1</c:f>
              <c:strCache>
                <c:ptCount val="1"/>
                <c:pt idx="0">
                  <c:v>Количество публикаций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'призывы к действию'!$A$2:$A$4</c:f>
              <c:strCache>
                <c:ptCount val="3"/>
                <c:pt idx="0">
                  <c:v>Сбор ДС</c:v>
                </c:pt>
                <c:pt idx="1">
                  <c:v>Набор волонтеров</c:v>
                </c:pt>
                <c:pt idx="2">
                  <c:v>Гуманитарный сбор</c:v>
                </c:pt>
              </c:strCache>
            </c:strRef>
          </c:cat>
          <c:val>
            <c:numRef>
              <c:f>'призывы к действию'!$B$2:$B$4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68-4D2E-8FD5-532D430F4B45}"/>
            </c:ext>
          </c:extLst>
        </c:ser>
        <c:ser>
          <c:idx val="1"/>
          <c:order val="1"/>
          <c:tx>
            <c:strRef>
              <c:f>'призывы к действию'!$C$1</c:f>
              <c:strCache>
                <c:ptCount val="1"/>
                <c:pt idx="0">
                  <c:v>Лайки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'призывы к действию'!$A$2:$A$4</c:f>
              <c:strCache>
                <c:ptCount val="3"/>
                <c:pt idx="0">
                  <c:v>Сбор ДС</c:v>
                </c:pt>
                <c:pt idx="1">
                  <c:v>Набор волонтеров</c:v>
                </c:pt>
                <c:pt idx="2">
                  <c:v>Гуманитарный сбор</c:v>
                </c:pt>
              </c:strCache>
            </c:strRef>
          </c:cat>
          <c:val>
            <c:numRef>
              <c:f>'призывы к действию'!$C$2:$C$4</c:f>
              <c:numCache>
                <c:formatCode>General</c:formatCode>
                <c:ptCount val="3"/>
                <c:pt idx="0">
                  <c:v>13</c:v>
                </c:pt>
                <c:pt idx="1">
                  <c:v>78</c:v>
                </c:pt>
                <c:pt idx="2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68-4D2E-8FD5-532D430F4B45}"/>
            </c:ext>
          </c:extLst>
        </c:ser>
        <c:ser>
          <c:idx val="2"/>
          <c:order val="2"/>
          <c:tx>
            <c:strRef>
              <c:f>'призывы к действию'!$D$1</c:f>
              <c:strCache>
                <c:ptCount val="1"/>
                <c:pt idx="0">
                  <c:v>Репосты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'призывы к действию'!$A$2:$A$4</c:f>
              <c:strCache>
                <c:ptCount val="3"/>
                <c:pt idx="0">
                  <c:v>Сбор ДС</c:v>
                </c:pt>
                <c:pt idx="1">
                  <c:v>Набор волонтеров</c:v>
                </c:pt>
                <c:pt idx="2">
                  <c:v>Гуманитарный сбор</c:v>
                </c:pt>
              </c:strCache>
            </c:strRef>
          </c:cat>
          <c:val>
            <c:numRef>
              <c:f>'призывы к действию'!$D$2:$D$4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68-4D2E-8FD5-532D430F4B45}"/>
            </c:ext>
          </c:extLst>
        </c:ser>
        <c:ser>
          <c:idx val="3"/>
          <c:order val="3"/>
          <c:tx>
            <c:strRef>
              <c:f>'призывы к действию'!$E$1</c:f>
              <c:strCache>
                <c:ptCount val="1"/>
                <c:pt idx="0">
                  <c:v>Комментарии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'призывы к действию'!$A$2:$A$4</c:f>
              <c:strCache>
                <c:ptCount val="3"/>
                <c:pt idx="0">
                  <c:v>Сбор ДС</c:v>
                </c:pt>
                <c:pt idx="1">
                  <c:v>Набор волонтеров</c:v>
                </c:pt>
                <c:pt idx="2">
                  <c:v>Гуманитарный сбор</c:v>
                </c:pt>
              </c:strCache>
            </c:strRef>
          </c:cat>
          <c:val>
            <c:numRef>
              <c:f>'призывы к действию'!$E$2:$E$4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68-4D2E-8FD5-532D430F4B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00038120"/>
        <c:axId val="500036680"/>
      </c:barChart>
      <c:catAx>
        <c:axId val="500038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0036680"/>
        <c:crosses val="autoZero"/>
        <c:auto val="1"/>
        <c:lblAlgn val="ctr"/>
        <c:lblOffset val="100"/>
        <c:noMultiLvlLbl val="0"/>
      </c:catAx>
      <c:valAx>
        <c:axId val="500036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0038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6314699792960661E-2"/>
                  <c:y val="-1.6188186796952573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7A-4D0D-A333-6BF839DFE97A}"/>
                </c:ext>
              </c:extLst>
            </c:dLbl>
            <c:dLbl>
              <c:idx val="1"/>
              <c:layout>
                <c:manualLayout>
                  <c:x val="1.0103519668736984E-2"/>
                  <c:y val="-1.6188186796952573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7A-4D0D-A333-6BF839DFE97A}"/>
                </c:ext>
              </c:extLst>
            </c:dLbl>
            <c:dLbl>
              <c:idx val="2"/>
              <c:layout>
                <c:manualLayout>
                  <c:x val="3.0807453416149069E-2"/>
                  <c:y val="-8.094093398476286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7A-4D0D-A333-6BF839DFE97A}"/>
                </c:ext>
              </c:extLst>
            </c:dLbl>
            <c:dLbl>
              <c:idx val="3"/>
              <c:layout>
                <c:manualLayout>
                  <c:x val="3.89233954451330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7A-4D0D-A333-6BF839DFE97A}"/>
                </c:ext>
              </c:extLst>
            </c:dLbl>
            <c:dLbl>
              <c:idx val="4"/>
              <c:layout>
                <c:manualLayout>
                  <c:x val="8.0331262939958587E-3"/>
                  <c:y val="4.047046699238143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7A-4D0D-A333-6BF839DFE97A}"/>
                </c:ext>
              </c:extLst>
            </c:dLbl>
            <c:dLbl>
              <c:idx val="5"/>
              <c:layout>
                <c:manualLayout>
                  <c:x val="4.944099378881987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7A-4D0D-A333-6BF839DFE97A}"/>
                </c:ext>
              </c:extLst>
            </c:dLbl>
            <c:dLbl>
              <c:idx val="6"/>
              <c:layout>
                <c:manualLayout>
                  <c:x val="3.8923395445133058E-3"/>
                  <c:y val="-1.011761674809535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7A-4D0D-A333-6BF839DFE9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'Количество, прошедших анкетиров'!$A$1:$A$7</c:f>
              <c:strCache>
                <c:ptCount val="7"/>
                <c:pt idx="0">
                  <c:v>АНО «Центр помощи населению «Солнечный дом»</c:v>
                </c:pt>
                <c:pt idx="1">
                  <c:v>АНО социальной поддержки населению «Золотая осень»</c:v>
                </c:pt>
                <c:pt idx="2">
                  <c:v>АНО СОН "Опора"</c:v>
                </c:pt>
                <c:pt idx="3">
                  <c:v>АНО «Центр по решению экологических проблем и сохранения природного потенциала «Чистое будущее»</c:v>
                </c:pt>
                <c:pt idx="4">
                  <c:v>АНО СО «Достойный возраст»</c:v>
                </c:pt>
                <c:pt idx="5">
                  <c:v>АНО СОН «Милосердие»</c:v>
                </c:pt>
                <c:pt idx="6">
                  <c:v>АНО СОН «Территория добра»</c:v>
                </c:pt>
              </c:strCache>
            </c:strRef>
          </c:cat>
          <c:val>
            <c:numRef>
              <c:f>'Количество, прошедших анкетиров'!$B$1:$B$7</c:f>
              <c:numCache>
                <c:formatCode>General</c:formatCode>
                <c:ptCount val="7"/>
                <c:pt idx="0">
                  <c:v>33</c:v>
                </c:pt>
                <c:pt idx="1">
                  <c:v>10</c:v>
                </c:pt>
                <c:pt idx="2">
                  <c:v>23</c:v>
                </c:pt>
                <c:pt idx="3">
                  <c:v>27</c:v>
                </c:pt>
                <c:pt idx="4">
                  <c:v>20</c:v>
                </c:pt>
                <c:pt idx="5">
                  <c:v>12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37A-4D0D-A333-6BF839DFE97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72838224"/>
        <c:axId val="472840744"/>
      </c:barChart>
      <c:catAx>
        <c:axId val="472838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endParaRPr lang="ru-RU"/>
          </a:p>
        </c:txPr>
        <c:crossAx val="472840744"/>
        <c:crosses val="autoZero"/>
        <c:auto val="1"/>
        <c:lblAlgn val="ctr"/>
        <c:lblOffset val="100"/>
        <c:noMultiLvlLbl val="0"/>
      </c:catAx>
      <c:valAx>
        <c:axId val="472840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838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pct2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E10-4BD8-99F3-E600C642B22D}"/>
              </c:ext>
            </c:extLst>
          </c:dPt>
          <c:dPt>
            <c:idx val="1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E10-4BD8-99F3-E600C642B22D}"/>
              </c:ext>
            </c:extLst>
          </c:dPt>
          <c:dPt>
            <c:idx val="2"/>
            <c:bubble3D val="0"/>
            <c:spPr>
              <a:pattFill prst="pct3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E10-4BD8-99F3-E600C642B22D}"/>
              </c:ext>
            </c:extLst>
          </c:dPt>
          <c:dPt>
            <c:idx val="3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E10-4BD8-99F3-E600C642B22D}"/>
              </c:ext>
            </c:extLst>
          </c:dPt>
          <c:dLbls>
            <c:dLbl>
              <c:idx val="0"/>
              <c:layout>
                <c:manualLayout>
                  <c:x val="5.6041338582677167E-2"/>
                  <c:y val="4.118839311752697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10-4BD8-99F3-E600C642B22D}"/>
                </c:ext>
              </c:extLst>
            </c:dLbl>
            <c:dLbl>
              <c:idx val="1"/>
              <c:layout>
                <c:manualLayout>
                  <c:x val="0.12525174978127734"/>
                  <c:y val="-9.165500145815115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10-4BD8-99F3-E600C642B22D}"/>
                </c:ext>
              </c:extLst>
            </c:dLbl>
            <c:dLbl>
              <c:idx val="2"/>
              <c:layout>
                <c:manualLayout>
                  <c:x val="-2.8285870516185502E-2"/>
                  <c:y val="7.03900554097404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E10-4BD8-99F3-E600C642B22D}"/>
                </c:ext>
              </c:extLst>
            </c:dLbl>
            <c:dLbl>
              <c:idx val="3"/>
              <c:layout>
                <c:manualLayout>
                  <c:x val="-8.6192257217847776E-2"/>
                  <c:y val="4.042322834645668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E10-4BD8-99F3-E600C642B2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" panose="02020603050405020304" pitchFamily="18" charset="0"/>
                    <a:ea typeface="+mn-ea"/>
                    <a:cs typeface="times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Ежедневно</c:v>
                </c:pt>
                <c:pt idx="1">
                  <c:v>Несколько раз в неделю</c:v>
                </c:pt>
                <c:pt idx="2">
                  <c:v>Раз в месяц или реже</c:v>
                </c:pt>
                <c:pt idx="3">
                  <c:v>Не замечаю вообще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22</c:v>
                </c:pt>
                <c:pt idx="1">
                  <c:v>60</c:v>
                </c:pt>
                <c:pt idx="2">
                  <c:v>23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E10-4BD8-99F3-E600C642B22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" panose="02020603050405020304" pitchFamily="18" charset="0"/>
              <a:ea typeface="+mn-ea"/>
              <a:cs typeface="times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Лист2!$A$1:$A$6</c:f>
              <c:strCache>
                <c:ptCount val="6"/>
                <c:pt idx="0">
                  <c:v>Текстовые новости</c:v>
                </c:pt>
                <c:pt idx="1">
                  <c:v>Фотографии</c:v>
                </c:pt>
                <c:pt idx="2">
                  <c:v>Видеоролики (интервью, репортажи)</c:v>
                </c:pt>
                <c:pt idx="3">
                  <c:v>Инфографика (графический способ презентации информации)</c:v>
                </c:pt>
                <c:pt idx="4">
                  <c:v>Клипы (короткие вертикальные видео)</c:v>
                </c:pt>
                <c:pt idx="5">
                  <c:v>Другое</c:v>
                </c:pt>
              </c:strCache>
            </c:strRef>
          </c:cat>
          <c:val>
            <c:numRef>
              <c:f>Лист2!$B$1:$B$6</c:f>
              <c:numCache>
                <c:formatCode>General</c:formatCode>
                <c:ptCount val="6"/>
                <c:pt idx="0">
                  <c:v>47</c:v>
                </c:pt>
                <c:pt idx="1">
                  <c:v>51</c:v>
                </c:pt>
                <c:pt idx="2">
                  <c:v>58</c:v>
                </c:pt>
                <c:pt idx="3">
                  <c:v>45</c:v>
                </c:pt>
                <c:pt idx="4">
                  <c:v>52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40-4E03-81D4-14EC7252FB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2844704"/>
        <c:axId val="472845064"/>
      </c:barChart>
      <c:catAx>
        <c:axId val="47284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endParaRPr lang="ru-RU"/>
          </a:p>
        </c:txPr>
        <c:crossAx val="472845064"/>
        <c:crosses val="autoZero"/>
        <c:auto val="1"/>
        <c:lblAlgn val="ctr"/>
        <c:lblOffset val="100"/>
        <c:noMultiLvlLbl val="0"/>
      </c:catAx>
      <c:valAx>
        <c:axId val="472845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84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22-4AE7-903B-AC2CC93875E9}"/>
              </c:ext>
            </c:extLst>
          </c:dPt>
          <c:dPt>
            <c:idx val="1"/>
            <c:bubble3D val="0"/>
            <c:spPr>
              <a:pattFill prst="pct3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22-4AE7-903B-AC2CC93875E9}"/>
              </c:ext>
            </c:extLst>
          </c:dPt>
          <c:dPt>
            <c:idx val="2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22-4AE7-903B-AC2CC93875E9}"/>
              </c:ext>
            </c:extLst>
          </c:dPt>
          <c:dPt>
            <c:idx val="3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22-4AE7-903B-AC2CC93875E9}"/>
              </c:ext>
            </c:extLst>
          </c:dPt>
          <c:dLbls>
            <c:dLbl>
              <c:idx val="0"/>
              <c:layout>
                <c:manualLayout>
                  <c:x val="2.5686789151356079E-3"/>
                  <c:y val="5.314486730825317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22-4AE7-903B-AC2CC93875E9}"/>
                </c:ext>
              </c:extLst>
            </c:dLbl>
            <c:dLbl>
              <c:idx val="1"/>
              <c:layout>
                <c:manualLayout>
                  <c:x val="6.5507436570428701E-4"/>
                  <c:y val="-5.52996500437445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22-4AE7-903B-AC2CC93875E9}"/>
                </c:ext>
              </c:extLst>
            </c:dLbl>
            <c:dLbl>
              <c:idx val="2"/>
              <c:layout>
                <c:manualLayout>
                  <c:x val="-5.8590769903762031E-2"/>
                  <c:y val="4.042104111986002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22-4AE7-903B-AC2CC93875E9}"/>
                </c:ext>
              </c:extLst>
            </c:dLbl>
            <c:dLbl>
              <c:idx val="3"/>
              <c:layout>
                <c:manualLayout>
                  <c:x val="8.3818022747156606E-2"/>
                  <c:y val="1.245625546806648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22-4AE7-903B-AC2CC93875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Лист3!$A$1:$A$4</c:f>
              <c:strCache>
                <c:ptCount val="4"/>
                <c:pt idx="0">
                  <c:v>Очень понятна, я хорошо представляю их цели и задачи</c:v>
                </c:pt>
                <c:pt idx="1">
                  <c:v>В целом понятна, но есть вопросы</c:v>
                </c:pt>
                <c:pt idx="2">
                  <c:v>Сложно разобраться, о чем они</c:v>
                </c:pt>
                <c:pt idx="3">
                  <c:v>Не обращаю внимания</c:v>
                </c:pt>
              </c:strCache>
            </c:strRef>
          </c:cat>
          <c:val>
            <c:numRef>
              <c:f>Лист3!$B$1:$B$4</c:f>
              <c:numCache>
                <c:formatCode>General</c:formatCode>
                <c:ptCount val="4"/>
                <c:pt idx="0">
                  <c:v>57</c:v>
                </c:pt>
                <c:pt idx="1">
                  <c:v>40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22-4AE7-903B-AC2CC93875E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" panose="02020603050405020304" pitchFamily="18" charset="0"/>
              <a:ea typeface="+mn-ea"/>
              <a:cs typeface="times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ltUpDiag"/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Лист4!$A$1:$A$4</c:f>
              <c:strCache>
                <c:ptCount val="4"/>
                <c:pt idx="0">
                  <c:v>Регулярно</c:v>
                </c:pt>
                <c:pt idx="1">
                  <c:v>Иногда</c:v>
                </c:pt>
                <c:pt idx="2">
                  <c:v>Редко</c:v>
                </c:pt>
                <c:pt idx="3">
                  <c:v>Никогда</c:v>
                </c:pt>
              </c:strCache>
            </c:strRef>
          </c:cat>
          <c:val>
            <c:numRef>
              <c:f>Лист4!$B$1:$B$4</c:f>
              <c:numCache>
                <c:formatCode>General</c:formatCode>
                <c:ptCount val="4"/>
                <c:pt idx="0">
                  <c:v>39</c:v>
                </c:pt>
                <c:pt idx="1">
                  <c:v>40</c:v>
                </c:pt>
                <c:pt idx="2">
                  <c:v>28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7D-4C8A-9FB1-054E332498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6190728"/>
        <c:axId val="586193608"/>
      </c:barChart>
      <c:catAx>
        <c:axId val="586190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endParaRPr lang="ru-RU"/>
          </a:p>
        </c:txPr>
        <c:crossAx val="586193608"/>
        <c:crosses val="autoZero"/>
        <c:auto val="1"/>
        <c:lblAlgn val="ctr"/>
        <c:lblOffset val="100"/>
        <c:noMultiLvlLbl val="0"/>
      </c:catAx>
      <c:valAx>
        <c:axId val="586193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6190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2EDA-01CA-43F4-ADD2-C012F845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4777</Words>
  <Characters>27231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3</cp:revision>
  <dcterms:created xsi:type="dcterms:W3CDTF">2025-05-24T17:11:00Z</dcterms:created>
  <dcterms:modified xsi:type="dcterms:W3CDTF">2025-05-24T17:48:00Z</dcterms:modified>
</cp:coreProperties>
</file>